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28b3f27c29840959c1c2b3d3983a63d"/>
        <w:id w:val="-1781707996"/>
        <w:lock w:val="sdtLocked"/>
      </w:sdtPr>
      <w:sdtEndPr/>
      <w:sdtContent>
        <w:p w14:paraId="75010257" w14:textId="77777777" w:rsidR="00C36727" w:rsidRDefault="00C36727">
          <w:pPr>
            <w:tabs>
              <w:tab w:val="center" w:pos="4153"/>
              <w:tab w:val="right" w:pos="9100"/>
            </w:tabs>
            <w:suppressAutoHyphens/>
            <w:ind w:firstLine="720"/>
            <w:jc w:val="both"/>
            <w:rPr>
              <w:rFonts w:ascii="Tahoma" w:hAnsi="Tahoma"/>
              <w:spacing w:val="10"/>
              <w:sz w:val="20"/>
              <w:lang w:eastAsia="ar-SA"/>
            </w:rPr>
          </w:pPr>
        </w:p>
        <w:p w14:paraId="75010258" w14:textId="77777777" w:rsidR="00C36727" w:rsidRDefault="00C36727">
          <w:pPr>
            <w:tabs>
              <w:tab w:val="center" w:pos="4153"/>
              <w:tab w:val="right" w:pos="9100"/>
            </w:tabs>
            <w:suppressAutoHyphens/>
            <w:ind w:firstLine="720"/>
            <w:jc w:val="both"/>
            <w:rPr>
              <w:rFonts w:ascii="Tahoma" w:hAnsi="Tahoma"/>
              <w:spacing w:val="10"/>
              <w:sz w:val="20"/>
              <w:lang w:eastAsia="ar-SA"/>
            </w:rPr>
          </w:pPr>
        </w:p>
        <w:p w14:paraId="75010259" w14:textId="77777777" w:rsidR="00C36727" w:rsidRDefault="00690E01">
          <w:pPr>
            <w:tabs>
              <w:tab w:val="right" w:pos="9100"/>
            </w:tabs>
            <w:suppressAutoHyphens/>
            <w:jc w:val="center"/>
            <w:rPr>
              <w:rFonts w:ascii="Arial" w:hAnsi="Arial"/>
              <w:spacing w:val="8"/>
              <w:szCs w:val="24"/>
              <w:lang w:eastAsia="ar-SA"/>
            </w:rPr>
          </w:pPr>
          <w:r>
            <w:rPr>
              <w:rFonts w:ascii="Tahoma" w:hAnsi="Tahoma"/>
              <w:noProof/>
              <w:spacing w:val="10"/>
              <w:szCs w:val="24"/>
              <w:lang w:eastAsia="lt-LT"/>
            </w:rPr>
            <w:drawing>
              <wp:inline distT="0" distB="0" distL="0" distR="0" wp14:anchorId="75010277" wp14:editId="75010278">
                <wp:extent cx="520700" cy="622300"/>
                <wp:effectExtent l="0" t="0" r="0" b="6350"/>
                <wp:docPr id="1" name="Picture 1" descr="HERB21"/>
                <wp:cNvGraphicFramePr/>
                <a:graphic xmlns:a="http://schemas.openxmlformats.org/drawingml/2006/main">
                  <a:graphicData uri="http://schemas.openxmlformats.org/drawingml/2006/picture">
                    <pic:pic xmlns:pic="http://schemas.openxmlformats.org/drawingml/2006/picture">
                      <pic:nvPicPr>
                        <pic:cNvPr id="1" name="Picture 1" descr="HERB21"/>
                        <pic:cNvPicPr/>
                      </pic:nvPicPr>
                      <pic:blipFill>
                        <a:blip r:embed="rId9"/>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14:paraId="7501025A" w14:textId="77777777" w:rsidR="00C36727" w:rsidRDefault="00690E01">
          <w:pPr>
            <w:jc w:val="center"/>
            <w:rPr>
              <w:b/>
              <w:szCs w:val="24"/>
            </w:rPr>
          </w:pPr>
          <w:r>
            <w:rPr>
              <w:b/>
              <w:szCs w:val="24"/>
            </w:rPr>
            <w:t>LIETUVOS RESPUBLIKOS APLINKOS MINISTRAS</w:t>
          </w:r>
        </w:p>
        <w:p w14:paraId="7501025B" w14:textId="77777777" w:rsidR="00C36727" w:rsidRDefault="00C36727">
          <w:pPr>
            <w:jc w:val="center"/>
            <w:rPr>
              <w:b/>
              <w:szCs w:val="24"/>
            </w:rPr>
          </w:pPr>
        </w:p>
        <w:p w14:paraId="7501025C" w14:textId="77777777" w:rsidR="00C36727" w:rsidRDefault="00690E01">
          <w:pPr>
            <w:jc w:val="center"/>
            <w:rPr>
              <w:b/>
              <w:szCs w:val="24"/>
            </w:rPr>
          </w:pPr>
          <w:r>
            <w:rPr>
              <w:b/>
              <w:szCs w:val="24"/>
            </w:rPr>
            <w:t>ĮSAKYMAS</w:t>
          </w:r>
        </w:p>
        <w:p w14:paraId="7501025D" w14:textId="77777777" w:rsidR="00C36727" w:rsidRDefault="00690E01">
          <w:pPr>
            <w:jc w:val="center"/>
            <w:rPr>
              <w:b/>
              <w:caps/>
              <w:szCs w:val="24"/>
            </w:rPr>
          </w:pPr>
          <w:r>
            <w:rPr>
              <w:b/>
              <w:caps/>
              <w:szCs w:val="24"/>
            </w:rPr>
            <w:t>DĖL lietuvos respublikos APLINKOS MINISTRO 2005 M. liepos 1 D. ĮSAKYMO NR. D1-338 „DĖL statybos techninio reglamento STR 2.02.09:2005 „vienbučiai ir dvibučiai gyvenamieji pastatai“ PATVIRTINIMO“ PAKEITIMO</w:t>
          </w:r>
        </w:p>
        <w:p w14:paraId="7501025E" w14:textId="77777777" w:rsidR="00C36727" w:rsidRDefault="00C36727">
          <w:pPr>
            <w:jc w:val="center"/>
            <w:rPr>
              <w:b/>
              <w:caps/>
              <w:szCs w:val="24"/>
            </w:rPr>
          </w:pPr>
        </w:p>
        <w:p w14:paraId="7501025F" w14:textId="77777777" w:rsidR="00C36727" w:rsidRDefault="00690E01">
          <w:pPr>
            <w:jc w:val="center"/>
            <w:rPr>
              <w:bCs/>
              <w:szCs w:val="24"/>
            </w:rPr>
          </w:pPr>
          <w:r>
            <w:rPr>
              <w:bCs/>
              <w:szCs w:val="24"/>
            </w:rPr>
            <w:t>2016 m. liepos 14 d. Nr. D1-495</w:t>
          </w:r>
        </w:p>
        <w:p w14:paraId="75010260" w14:textId="77777777" w:rsidR="00C36727" w:rsidRDefault="00690E01">
          <w:pPr>
            <w:jc w:val="center"/>
            <w:rPr>
              <w:bCs/>
              <w:szCs w:val="24"/>
            </w:rPr>
          </w:pPr>
          <w:r>
            <w:rPr>
              <w:bCs/>
              <w:szCs w:val="24"/>
            </w:rPr>
            <w:t>Vilnius</w:t>
          </w:r>
        </w:p>
        <w:p w14:paraId="75010261" w14:textId="77777777" w:rsidR="00C36727" w:rsidRDefault="00C36727">
          <w:pPr>
            <w:jc w:val="center"/>
            <w:rPr>
              <w:bCs/>
              <w:szCs w:val="24"/>
            </w:rPr>
          </w:pPr>
        </w:p>
        <w:p w14:paraId="75010262" w14:textId="77777777" w:rsidR="00C36727" w:rsidRDefault="00C36727"/>
        <w:sdt>
          <w:sdtPr>
            <w:alias w:val="preambule"/>
            <w:tag w:val="part_82574e7afbcc41d0b5320c53fe17b89f"/>
            <w:id w:val="1915588103"/>
            <w:lock w:val="sdtLocked"/>
          </w:sdtPr>
          <w:sdtEndPr/>
          <w:sdtContent>
            <w:p w14:paraId="75010263" w14:textId="77777777" w:rsidR="00C36727" w:rsidRDefault="00690E01">
              <w:pPr>
                <w:ind w:firstLine="567"/>
                <w:jc w:val="both"/>
                <w:rPr>
                  <w:szCs w:val="24"/>
                </w:rPr>
              </w:pPr>
              <w:r>
                <w:rPr>
                  <w:szCs w:val="24"/>
                </w:rPr>
                <w:t xml:space="preserve">P a k e i č i u statybos techninį reglamentą STR 2.02.09:2005 „Vienbučiai ir </w:t>
              </w:r>
              <w:proofErr w:type="spellStart"/>
              <w:r>
                <w:rPr>
                  <w:szCs w:val="24"/>
                </w:rPr>
                <w:t>dvibučiai</w:t>
              </w:r>
              <w:proofErr w:type="spellEnd"/>
              <w:r>
                <w:rPr>
                  <w:szCs w:val="24"/>
                </w:rPr>
                <w:t xml:space="preserve"> gyvenamieji pastatai“, patvirtintą Lietuvos Respublikos aplinkos ministro 2005 m. liepos 1 d. įsakymu Nr. D1-338 „Dėl statybos techninio reglamento STR 2.02.09:2005 „Vienbučiai ir </w:t>
              </w:r>
              <w:proofErr w:type="spellStart"/>
              <w:r>
                <w:rPr>
                  <w:szCs w:val="24"/>
                </w:rPr>
                <w:t>dvibučiai</w:t>
              </w:r>
              <w:proofErr w:type="spellEnd"/>
              <w:r>
                <w:rPr>
                  <w:szCs w:val="24"/>
                </w:rPr>
                <w:t xml:space="preserve"> gyvenamieji pastatai“ patvirtinimo“:</w:t>
              </w:r>
            </w:p>
          </w:sdtContent>
        </w:sdt>
        <w:sdt>
          <w:sdtPr>
            <w:alias w:val="1 p."/>
            <w:tag w:val="part_94b5b984dc324802a9cd29884413cc8b"/>
            <w:id w:val="586355604"/>
            <w:lock w:val="sdtLocked"/>
          </w:sdtPr>
          <w:sdtEndPr/>
          <w:sdtContent>
            <w:p w14:paraId="75010264" w14:textId="55E3712E" w:rsidR="00C36727" w:rsidRDefault="0059652E">
              <w:pPr>
                <w:ind w:left="927" w:hanging="360"/>
                <w:jc w:val="both"/>
                <w:rPr>
                  <w:szCs w:val="24"/>
                </w:rPr>
              </w:pPr>
              <w:sdt>
                <w:sdtPr>
                  <w:alias w:val="Numeris"/>
                  <w:tag w:val="nr_94b5b984dc324802a9cd29884413cc8b"/>
                  <w:id w:val="-189535710"/>
                  <w:lock w:val="sdtLocked"/>
                </w:sdtPr>
                <w:sdtEndPr/>
                <w:sdtContent>
                  <w:r w:rsidR="00690E01">
                    <w:rPr>
                      <w:szCs w:val="24"/>
                    </w:rPr>
                    <w:t>1</w:t>
                  </w:r>
                </w:sdtContent>
              </w:sdt>
              <w:r w:rsidR="00690E01">
                <w:rPr>
                  <w:szCs w:val="24"/>
                </w:rPr>
                <w:t>.</w:t>
              </w:r>
              <w:r w:rsidR="00690E01">
                <w:rPr>
                  <w:szCs w:val="24"/>
                </w:rPr>
                <w:tab/>
                <w:t xml:space="preserve">Papildau 6.1.7 papunkčiu:  </w:t>
              </w:r>
            </w:p>
            <w:sdt>
              <w:sdtPr>
                <w:alias w:val="citata"/>
                <w:tag w:val="part_13b850ffa26040138b87a64d51e8d9ea"/>
                <w:id w:val="-566040849"/>
                <w:lock w:val="sdtLocked"/>
              </w:sdtPr>
              <w:sdtEndPr/>
              <w:sdtContent>
                <w:sdt>
                  <w:sdtPr>
                    <w:alias w:val="6.1.7 pp."/>
                    <w:tag w:val="part_57162a90ffb9451bbf7a9bcb0f0a6639"/>
                    <w:id w:val="1165368154"/>
                    <w:lock w:val="sdtLocked"/>
                  </w:sdtPr>
                  <w:sdtEndPr/>
                  <w:sdtContent>
                    <w:p w14:paraId="75010265" w14:textId="3E06A443" w:rsidR="00C36727" w:rsidRDefault="00690E01">
                      <w:pPr>
                        <w:ind w:firstLine="567"/>
                        <w:jc w:val="both"/>
                        <w:rPr>
                          <w:szCs w:val="24"/>
                        </w:rPr>
                      </w:pPr>
                      <w:r>
                        <w:rPr>
                          <w:szCs w:val="24"/>
                        </w:rPr>
                        <w:t>„</w:t>
                      </w:r>
                      <w:sdt>
                        <w:sdtPr>
                          <w:rPr>
                            <w:szCs w:val="24"/>
                          </w:rPr>
                          <w:alias w:val="Numeris"/>
                          <w:tag w:val="nr_57162a90ffb9451bbf7a9bcb0f0a6639"/>
                          <w:id w:val="796657353"/>
                          <w:lock w:val="sdtLocked"/>
                          <w:placeholder>
                            <w:docPart w:val="DefaultPlaceholder_1082065158"/>
                          </w:placeholder>
                        </w:sdtPr>
                        <w:sdtContent>
                          <w:r>
                            <w:rPr>
                              <w:szCs w:val="24"/>
                            </w:rPr>
                            <w:t>6.1</w:t>
                          </w:r>
                          <w:r w:rsidR="0059652E">
                            <w:rPr>
                              <w:szCs w:val="24"/>
                            </w:rPr>
                            <w:t>.</w:t>
                          </w:r>
                          <w:r>
                            <w:rPr>
                              <w:szCs w:val="24"/>
                            </w:rPr>
                            <w:t>7</w:t>
                          </w:r>
                        </w:sdtContent>
                      </w:sdt>
                      <w:r>
                        <w:rPr>
                          <w:szCs w:val="24"/>
                        </w:rPr>
                        <w:t>. Lietuvos Respublikos Vyriausybės 1996 m. rugsėjo 18 d. nutarimą Nr. 1097 „Dėl Visuomenės informavimo, konsultavimo ir dalyvavimo priimant sprendimus dėl teritorijų planavimo nuostatų patvirtinimo.“</w:t>
                      </w:r>
                    </w:p>
                  </w:sdtContent>
                </w:sdt>
              </w:sdtContent>
            </w:sdt>
          </w:sdtContent>
        </w:sdt>
        <w:sdt>
          <w:sdtPr>
            <w:alias w:val="2 p."/>
            <w:tag w:val="part_35373f6e99724de791067ae15295c49e"/>
            <w:id w:val="438877706"/>
            <w:lock w:val="sdtLocked"/>
          </w:sdtPr>
          <w:sdtEndPr>
            <w:rPr>
              <w:rFonts w:eastAsia="Arial Unicode MS"/>
              <w:szCs w:val="24"/>
            </w:rPr>
          </w:sdtEndPr>
          <w:sdtContent>
            <w:p w14:paraId="75010266" w14:textId="6EF6CC9B" w:rsidR="00C36727" w:rsidRDefault="005965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Arial Unicode MS"/>
                  <w:szCs w:val="24"/>
                </w:rPr>
              </w:pPr>
              <w:sdt>
                <w:sdtPr>
                  <w:alias w:val="Numeris"/>
                  <w:tag w:val="nr_35373f6e99724de791067ae15295c49e"/>
                  <w:id w:val="-1939585289"/>
                  <w:lock w:val="sdtLocked"/>
                </w:sdtPr>
                <w:sdtEndPr/>
                <w:sdtContent>
                  <w:r w:rsidR="00690E01">
                    <w:rPr>
                      <w:rFonts w:eastAsia="Arial Unicode MS"/>
                      <w:szCs w:val="24"/>
                    </w:rPr>
                    <w:t>2</w:t>
                  </w:r>
                </w:sdtContent>
              </w:sdt>
              <w:r w:rsidR="00690E01">
                <w:rPr>
                  <w:rFonts w:eastAsia="Arial Unicode MS"/>
                  <w:szCs w:val="24"/>
                </w:rPr>
                <w:t>. Pripažįstu netekusiu galios 6.2.24 papunktį.</w:t>
              </w:r>
            </w:p>
          </w:sdtContent>
        </w:sdt>
        <w:sdt>
          <w:sdtPr>
            <w:alias w:val="3 p."/>
            <w:tag w:val="part_49bcfb51ebcd428e8b61ce6ad8ad9de2"/>
            <w:id w:val="541722347"/>
            <w:lock w:val="sdtLocked"/>
          </w:sdtPr>
          <w:sdtEndPr>
            <w:rPr>
              <w:rFonts w:eastAsia="Arial Unicode MS"/>
              <w:szCs w:val="24"/>
            </w:rPr>
          </w:sdtEndPr>
          <w:sdtContent>
            <w:p w14:paraId="75010267" w14:textId="11CD6842" w:rsidR="00C36727" w:rsidRDefault="005965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Arial Unicode MS"/>
                  <w:szCs w:val="24"/>
                </w:rPr>
              </w:pPr>
              <w:sdt>
                <w:sdtPr>
                  <w:alias w:val="Numeris"/>
                  <w:tag w:val="nr_49bcfb51ebcd428e8b61ce6ad8ad9de2"/>
                  <w:id w:val="-987624813"/>
                  <w:lock w:val="sdtLocked"/>
                </w:sdtPr>
                <w:sdtEndPr/>
                <w:sdtContent>
                  <w:r w:rsidR="00690E01">
                    <w:rPr>
                      <w:rFonts w:eastAsia="Arial Unicode MS"/>
                      <w:szCs w:val="24"/>
                    </w:rPr>
                    <w:t>3</w:t>
                  </w:r>
                </w:sdtContent>
              </w:sdt>
              <w:r w:rsidR="00690E01">
                <w:rPr>
                  <w:rFonts w:eastAsia="Arial Unicode MS"/>
                  <w:szCs w:val="24"/>
                </w:rPr>
                <w:t xml:space="preserve">. Papildau 6.6.5 papunkčiu:  </w:t>
              </w:r>
            </w:p>
            <w:sdt>
              <w:sdtPr>
                <w:rPr>
                  <w:rFonts w:eastAsia="Arial Unicode MS"/>
                  <w:szCs w:val="24"/>
                </w:rPr>
                <w:alias w:val="citata"/>
                <w:tag w:val="part_7130df3583874aa1989ef6a3b40bea08"/>
                <w:id w:val="-978907031"/>
                <w:lock w:val="sdtLocked"/>
              </w:sdtPr>
              <w:sdtEndPr/>
              <w:sdtContent>
                <w:sdt>
                  <w:sdtPr>
                    <w:rPr>
                      <w:rFonts w:eastAsia="Arial Unicode MS"/>
                      <w:szCs w:val="24"/>
                    </w:rPr>
                    <w:alias w:val="6.6.5 pp."/>
                    <w:tag w:val="part_1db1885c23b14c2794aafde577ef4aa7"/>
                    <w:id w:val="180399447"/>
                    <w:lock w:val="sdtLocked"/>
                  </w:sdtPr>
                  <w:sdtEndPr/>
                  <w:sdtContent>
                    <w:p w14:paraId="75010268" w14:textId="5375E9F6" w:rsidR="00C36727" w:rsidRDefault="00690E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Arial Unicode MS"/>
                          <w:szCs w:val="24"/>
                        </w:rPr>
                      </w:pPr>
                      <w:r>
                        <w:rPr>
                          <w:rFonts w:eastAsia="Arial Unicode MS"/>
                          <w:szCs w:val="24"/>
                        </w:rPr>
                        <w:t>„</w:t>
                      </w:r>
                      <w:sdt>
                        <w:sdtPr>
                          <w:rPr>
                            <w:rFonts w:eastAsia="Arial Unicode MS"/>
                            <w:szCs w:val="24"/>
                          </w:rPr>
                          <w:alias w:val="Numeris"/>
                          <w:tag w:val="nr_1db1885c23b14c2794aafde577ef4aa7"/>
                          <w:id w:val="-777563102"/>
                          <w:lock w:val="sdtLocked"/>
                        </w:sdtPr>
                        <w:sdtEndPr/>
                        <w:sdtContent>
                          <w:r>
                            <w:rPr>
                              <w:rFonts w:eastAsia="Arial Unicode MS"/>
                              <w:szCs w:val="24"/>
                            </w:rPr>
                            <w:t>6.6</w:t>
                          </w:r>
                          <w:bookmarkStart w:id="0" w:name="_GoBack"/>
                          <w:bookmarkEnd w:id="0"/>
                          <w:r>
                            <w:rPr>
                              <w:rFonts w:eastAsia="Arial Unicode MS"/>
                              <w:szCs w:val="24"/>
                            </w:rPr>
                            <w:t>.5</w:t>
                          </w:r>
                        </w:sdtContent>
                      </w:sdt>
                      <w:r>
                        <w:rPr>
                          <w:rFonts w:eastAsia="Arial Unicode MS"/>
                          <w:szCs w:val="24"/>
                        </w:rPr>
                        <w:t>. Teritorijų planavimo normas, patvirtintas Lietuvos Respublikos aplinkos ministro 2014 m. sausio 2 d. įsakymu Nr. D1-7 „Dėl Teritorijų planavimo normų patvirtinimo.“</w:t>
                      </w:r>
                    </w:p>
                  </w:sdtContent>
                </w:sdt>
              </w:sdtContent>
            </w:sdt>
          </w:sdtContent>
        </w:sdt>
        <w:sdt>
          <w:sdtPr>
            <w:alias w:val="4 p."/>
            <w:tag w:val="part_6090e9d915f3436da4ef6a755a0c46cb"/>
            <w:id w:val="-2028011207"/>
            <w:lock w:val="sdtLocked"/>
          </w:sdtPr>
          <w:sdtEndPr>
            <w:rPr>
              <w:bCs/>
              <w:szCs w:val="24"/>
            </w:rPr>
          </w:sdtEndPr>
          <w:sdtContent>
            <w:p w14:paraId="75010269" w14:textId="164DD923" w:rsidR="00C36727" w:rsidRDefault="005965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Arial Unicode MS"/>
                  <w:szCs w:val="24"/>
                </w:rPr>
              </w:pPr>
              <w:sdt>
                <w:sdtPr>
                  <w:alias w:val="Numeris"/>
                  <w:tag w:val="nr_6090e9d915f3436da4ef6a755a0c46cb"/>
                  <w:id w:val="88049031"/>
                  <w:lock w:val="sdtLocked"/>
                </w:sdtPr>
                <w:sdtEndPr/>
                <w:sdtContent>
                  <w:r w:rsidR="00690E01">
                    <w:rPr>
                      <w:rFonts w:eastAsia="Arial Unicode MS"/>
                      <w:szCs w:val="24"/>
                    </w:rPr>
                    <w:t>4</w:t>
                  </w:r>
                </w:sdtContent>
              </w:sdt>
              <w:r w:rsidR="00690E01">
                <w:rPr>
                  <w:rFonts w:eastAsia="Arial Unicode MS"/>
                  <w:szCs w:val="24"/>
                </w:rPr>
                <w:t xml:space="preserve">. Pakeičiu 7.4 papunktį ir jį išdėstau taip:  </w:t>
              </w:r>
            </w:p>
            <w:sdt>
              <w:sdtPr>
                <w:rPr>
                  <w:rFonts w:eastAsia="Arial Unicode MS"/>
                  <w:szCs w:val="24"/>
                </w:rPr>
                <w:alias w:val="citata"/>
                <w:tag w:val="part_1f2064a35c72400bb9da11ad8e7a58f7"/>
                <w:id w:val="145323786"/>
                <w:lock w:val="sdtLocked"/>
              </w:sdtPr>
              <w:sdtEndPr>
                <w:rPr>
                  <w:rFonts w:eastAsia="Times New Roman"/>
                  <w:bCs/>
                </w:rPr>
              </w:sdtEndPr>
              <w:sdtContent>
                <w:sdt>
                  <w:sdtPr>
                    <w:rPr>
                      <w:bCs/>
                      <w:szCs w:val="24"/>
                    </w:rPr>
                    <w:alias w:val="7.4 pp."/>
                    <w:tag w:val="part_b57bc4d032dd45cd87fb8d48d7243813"/>
                    <w:id w:val="117189675"/>
                    <w:lock w:val="sdtLocked"/>
                  </w:sdtPr>
                  <w:sdtEndPr/>
                  <w:sdtContent>
                    <w:p w14:paraId="7501026A" w14:textId="09513B5E" w:rsidR="00C36727" w:rsidRDefault="00690E01" w:rsidP="00690E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szCs w:val="24"/>
                        </w:rPr>
                      </w:pPr>
                      <w:r>
                        <w:rPr>
                          <w:bCs/>
                          <w:szCs w:val="24"/>
                        </w:rPr>
                        <w:t>„</w:t>
                      </w:r>
                      <w:sdt>
                        <w:sdtPr>
                          <w:rPr>
                            <w:bCs/>
                            <w:szCs w:val="24"/>
                          </w:rPr>
                          <w:alias w:val="Numeris"/>
                          <w:tag w:val="nr_b57bc4d032dd45cd87fb8d48d7243813"/>
                          <w:id w:val="415135934"/>
                          <w:lock w:val="sdtLocked"/>
                        </w:sdtPr>
                        <w:sdtEndPr/>
                        <w:sdtContent>
                          <w:r>
                            <w:rPr>
                              <w:bCs/>
                              <w:szCs w:val="24"/>
                            </w:rPr>
                            <w:t>7.4</w:t>
                          </w:r>
                        </w:sdtContent>
                      </w:sdt>
                      <w:r>
                        <w:rPr>
                          <w:bCs/>
                          <w:szCs w:val="24"/>
                        </w:rPr>
                        <w:t>. sublokuoti (blokuoti) vienbučiai (vieno buto) gyvenamieji pastatai</w:t>
                      </w:r>
                      <w:r>
                        <w:rPr>
                          <w:b/>
                          <w:bCs/>
                          <w:szCs w:val="24"/>
                        </w:rPr>
                        <w:t xml:space="preserve"> </w:t>
                      </w:r>
                      <w:r>
                        <w:rPr>
                          <w:bCs/>
                          <w:szCs w:val="24"/>
                        </w:rPr>
                        <w:t>– gyvenamieji  pastatai, turintys bendrą ar atskiras, gaisrinės saugos reikalavimus atitinkančią sieną (sienas), kurios (kurių) šiluminiai parametrai atitinka išorės sienų šiluminiams parametrams nustatytus reikalavimus“.</w:t>
                      </w:r>
                    </w:p>
                  </w:sdtContent>
                </w:sdt>
              </w:sdtContent>
            </w:sdt>
          </w:sdtContent>
        </w:sdt>
        <w:sdt>
          <w:sdtPr>
            <w:alias w:val="5 p."/>
            <w:tag w:val="part_b7600bc91b8147249be97a1ff7ab31c5"/>
            <w:id w:val="347997354"/>
            <w:lock w:val="sdtLocked"/>
          </w:sdtPr>
          <w:sdtEndPr/>
          <w:sdtContent>
            <w:p w14:paraId="7501026B" w14:textId="77777777" w:rsidR="00C36727" w:rsidRDefault="0059652E">
              <w:pPr>
                <w:ind w:firstLine="567"/>
                <w:jc w:val="both"/>
                <w:rPr>
                  <w:bCs/>
                  <w:szCs w:val="24"/>
                </w:rPr>
              </w:pPr>
              <w:sdt>
                <w:sdtPr>
                  <w:alias w:val="Numeris"/>
                  <w:tag w:val="nr_b7600bc91b8147249be97a1ff7ab31c5"/>
                  <w:id w:val="-1301231276"/>
                  <w:lock w:val="sdtLocked"/>
                </w:sdtPr>
                <w:sdtEndPr/>
                <w:sdtContent>
                  <w:r w:rsidR="00690E01">
                    <w:rPr>
                      <w:bCs/>
                      <w:szCs w:val="24"/>
                    </w:rPr>
                    <w:t>5</w:t>
                  </w:r>
                </w:sdtContent>
              </w:sdt>
              <w:r w:rsidR="00690E01">
                <w:rPr>
                  <w:bCs/>
                  <w:szCs w:val="24"/>
                </w:rPr>
                <w:t>. Pakeičiu 9 priedo 1 punkto pirmąją pastraipą ir ją išdėstau taip:</w:t>
              </w:r>
            </w:p>
            <w:sdt>
              <w:sdtPr>
                <w:alias w:val="citata"/>
                <w:tag w:val="part_d1fe834a8b924f19b38033867adea86f"/>
                <w:id w:val="-1102339632"/>
                <w:lock w:val="sdtLocked"/>
              </w:sdtPr>
              <w:sdtEndPr/>
              <w:sdtContent>
                <w:sdt>
                  <w:sdtPr>
                    <w:alias w:val="1 p."/>
                    <w:tag w:val="part_15577f3fa2cb449ebd0c59176989df80"/>
                    <w:id w:val="-31117425"/>
                    <w:lock w:val="sdtLocked"/>
                  </w:sdtPr>
                  <w:sdtEndPr/>
                  <w:sdtContent>
                    <w:p w14:paraId="7501026C" w14:textId="77777777" w:rsidR="00C36727" w:rsidRDefault="00690E01">
                      <w:pPr>
                        <w:ind w:firstLine="567"/>
                        <w:jc w:val="both"/>
                        <w:rPr>
                          <w:bCs/>
                          <w:szCs w:val="24"/>
                        </w:rPr>
                      </w:pPr>
                      <w:r>
                        <w:rPr>
                          <w:bCs/>
                          <w:szCs w:val="24"/>
                        </w:rPr>
                        <w:t>„</w:t>
                      </w:r>
                      <w:sdt>
                        <w:sdtPr>
                          <w:alias w:val="Numeris"/>
                          <w:tag w:val="nr_15577f3fa2cb449ebd0c59176989df80"/>
                          <w:id w:val="-81914230"/>
                          <w:lock w:val="sdtLocked"/>
                        </w:sdtPr>
                        <w:sdtEndPr/>
                        <w:sdtContent>
                          <w:r>
                            <w:rPr>
                              <w:bCs/>
                              <w:szCs w:val="24"/>
                            </w:rPr>
                            <w:t>1</w:t>
                          </w:r>
                        </w:sdtContent>
                      </w:sdt>
                      <w:r>
                        <w:rPr>
                          <w:bCs/>
                          <w:szCs w:val="24"/>
                        </w:rPr>
                        <w:t>. Maksimalūs sklypo užstatymo tankio dydžiai nustatyti lentelėje. Kai žemės ūkio paskirties žemės sklype, išskyrus ūkininko sodyboje, žemės naudotojui priklausančiais gyvenamaisiais pastatais ir jų priklausiniais užstatyti plotai nesuformuoti atskirais sklypais, maksimalus sklypo užstatymo tankis skaičiuojamas pagal Nekilnojamojo turto kadastro duomenis faktiniam užstatytos teritorijos naudmenų plotui (pastatų, kiemų, aikštelių užimtai žemei ir kitai tiesioginiam statinių eksploatavimui naudojamai žemei). Žemės ūkio paskirties sklype ūkininko sodyboje Namo užimamas žemės plotas neturi viršyti 1000 m</w:t>
                      </w:r>
                      <w:r>
                        <w:rPr>
                          <w:bCs/>
                          <w:szCs w:val="24"/>
                          <w:vertAlign w:val="superscript"/>
                        </w:rPr>
                        <w:t>2</w:t>
                      </w:r>
                      <w:r>
                        <w:rPr>
                          <w:bCs/>
                          <w:szCs w:val="24"/>
                        </w:rPr>
                        <w:t xml:space="preserve">, o bendras užstatymo tankis 50 %. Užstatymo tankio žemės ūkio paskirties žemės sklype, išskyrus ūkininko sodyboje, skaičiavimas nurodytas Lietuvos Respublikos </w:t>
                      </w:r>
                      <w:r>
                        <w:rPr>
                          <w:bCs/>
                          <w:iCs/>
                          <w:color w:val="000000"/>
                          <w:szCs w:val="24"/>
                        </w:rPr>
                        <w:t>teritorijų planavimo įstatymo 20</w:t>
                      </w:r>
                      <w:r>
                        <w:rPr>
                          <w:bCs/>
                          <w:szCs w:val="24"/>
                        </w:rPr>
                        <w:t xml:space="preserve"> straipsnio 5 dalyje. Maksimalus sklypo užstatymo intensyvumas yra 0,4, vienbučio  blokuoto užstatymo tipo, kai namai statomi atskiruose sklypuose </w:t>
                      </w:r>
                      <w:r>
                        <w:rPr>
                          <w:b/>
                          <w:bCs/>
                          <w:szCs w:val="24"/>
                        </w:rPr>
                        <w:t>–</w:t>
                      </w:r>
                      <w:r>
                        <w:rPr>
                          <w:bCs/>
                          <w:szCs w:val="24"/>
                        </w:rPr>
                        <w:t xml:space="preserve"> 0,8</w:t>
                      </w:r>
                      <w:r>
                        <w:rPr>
                          <w:b/>
                          <w:bCs/>
                          <w:szCs w:val="24"/>
                        </w:rPr>
                        <w:t>,</w:t>
                      </w:r>
                      <w:r>
                        <w:rPr>
                          <w:bCs/>
                          <w:szCs w:val="24"/>
                        </w:rPr>
                        <w:t xml:space="preserve"> išskyrus atvejus, kai teritorijų planavimo dokumentuose užstatymo intensyvumas nustatytas</w:t>
                      </w:r>
                      <w:r>
                        <w:rPr>
                          <w:b/>
                          <w:bCs/>
                          <w:szCs w:val="24"/>
                        </w:rPr>
                        <w:t xml:space="preserve"> </w:t>
                      </w:r>
                      <w:r>
                        <w:rPr>
                          <w:bCs/>
                          <w:szCs w:val="24"/>
                        </w:rPr>
                        <w:t>mažesnis.“</w:t>
                      </w:r>
                    </w:p>
                  </w:sdtContent>
                </w:sdt>
              </w:sdtContent>
            </w:sdt>
          </w:sdtContent>
        </w:sdt>
        <w:sdt>
          <w:sdtPr>
            <w:alias w:val="6 p."/>
            <w:tag w:val="part_dce664a87e7c4a3a89ff9fb503592ee7"/>
            <w:id w:val="572090680"/>
            <w:lock w:val="sdtLocked"/>
          </w:sdtPr>
          <w:sdtEndPr/>
          <w:sdtContent>
            <w:p w14:paraId="7501026D" w14:textId="77777777" w:rsidR="00C36727" w:rsidRDefault="0059652E">
              <w:pPr>
                <w:ind w:firstLine="567"/>
                <w:jc w:val="both"/>
                <w:rPr>
                  <w:bCs/>
                  <w:szCs w:val="24"/>
                </w:rPr>
              </w:pPr>
              <w:sdt>
                <w:sdtPr>
                  <w:alias w:val="Numeris"/>
                  <w:tag w:val="nr_dce664a87e7c4a3a89ff9fb503592ee7"/>
                  <w:id w:val="767351439"/>
                  <w:lock w:val="sdtLocked"/>
                </w:sdtPr>
                <w:sdtEndPr/>
                <w:sdtContent>
                  <w:r w:rsidR="00690E01">
                    <w:rPr>
                      <w:bCs/>
                      <w:szCs w:val="24"/>
                    </w:rPr>
                    <w:t>6</w:t>
                  </w:r>
                </w:sdtContent>
              </w:sdt>
              <w:r w:rsidR="00690E01">
                <w:rPr>
                  <w:bCs/>
                  <w:szCs w:val="24"/>
                </w:rPr>
                <w:t>. Pakeičiu 9 priedo 3 punktą ir jį išdėstau taip:</w:t>
              </w:r>
            </w:p>
            <w:sdt>
              <w:sdtPr>
                <w:alias w:val="citata"/>
                <w:tag w:val="part_a010028f2be441b884a0b9085d465b5a"/>
                <w:id w:val="2079317471"/>
                <w:lock w:val="sdtLocked"/>
              </w:sdtPr>
              <w:sdtEndPr/>
              <w:sdtContent>
                <w:sdt>
                  <w:sdtPr>
                    <w:alias w:val="3 p."/>
                    <w:tag w:val="part_fbad2cfd3e664b34befc7d45b21d6b71"/>
                    <w:id w:val="-1971735421"/>
                    <w:lock w:val="sdtLocked"/>
                  </w:sdtPr>
                  <w:sdtEndPr/>
                  <w:sdtContent>
                    <w:p w14:paraId="7501026E" w14:textId="77777777" w:rsidR="00C36727" w:rsidRDefault="00690E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Arial Unicode MS"/>
                          <w:szCs w:val="24"/>
                        </w:rPr>
                      </w:pPr>
                      <w:r>
                        <w:rPr>
                          <w:rFonts w:eastAsia="Arial Unicode MS"/>
                          <w:szCs w:val="24"/>
                        </w:rPr>
                        <w:t>„</w:t>
                      </w:r>
                      <w:sdt>
                        <w:sdtPr>
                          <w:alias w:val="Numeris"/>
                          <w:tag w:val="nr_fbad2cfd3e664b34befc7d45b21d6b71"/>
                          <w:id w:val="266436379"/>
                          <w:lock w:val="sdtLocked"/>
                        </w:sdtPr>
                        <w:sdtEndPr/>
                        <w:sdtContent>
                          <w:r>
                            <w:rPr>
                              <w:rFonts w:eastAsia="Arial Unicode MS"/>
                              <w:szCs w:val="24"/>
                            </w:rPr>
                            <w:t>3</w:t>
                          </w:r>
                        </w:sdtContent>
                      </w:sdt>
                      <w:r>
                        <w:rPr>
                          <w:rFonts w:eastAsia="Arial Unicode MS"/>
                          <w:szCs w:val="24"/>
                        </w:rPr>
                        <w:t xml:space="preserve">. Formuojant naujus, pertvarkant esamus žemės sklypus ar keičiant žemės  naudojimo būdą į vienbučių ir </w:t>
                      </w:r>
                      <w:proofErr w:type="spellStart"/>
                      <w:r>
                        <w:rPr>
                          <w:rFonts w:eastAsia="Arial Unicode MS"/>
                          <w:szCs w:val="24"/>
                        </w:rPr>
                        <w:t>dvibučių</w:t>
                      </w:r>
                      <w:proofErr w:type="spellEnd"/>
                      <w:r>
                        <w:rPr>
                          <w:rFonts w:eastAsia="Arial Unicode MS"/>
                          <w:szCs w:val="24"/>
                        </w:rPr>
                        <w:t xml:space="preserve"> gyvenamųjų pastatų teritorijų žemės naudojimo būdą, Namui skirtas žemės sklypas negali būti mažesnis kaip 400 m</w:t>
                      </w:r>
                      <w:r>
                        <w:rPr>
                          <w:rFonts w:eastAsia="Arial Unicode MS"/>
                          <w:szCs w:val="24"/>
                          <w:vertAlign w:val="superscript"/>
                        </w:rPr>
                        <w:t>2</w:t>
                      </w:r>
                      <w:r>
                        <w:rPr>
                          <w:rFonts w:eastAsia="Arial Unicode MS"/>
                          <w:szCs w:val="24"/>
                        </w:rPr>
                        <w:t>, o vienbučio blokuoto užstatymo tipo [6.6.5] Namui  skirtas sklypas (ar jo dalis) – ne mažesnis kaip 200 m</w:t>
                      </w:r>
                      <w:r>
                        <w:rPr>
                          <w:rFonts w:eastAsia="Arial Unicode MS"/>
                          <w:szCs w:val="24"/>
                          <w:vertAlign w:val="superscript"/>
                        </w:rPr>
                        <w:t>2</w:t>
                      </w:r>
                      <w:r>
                        <w:rPr>
                          <w:rFonts w:eastAsia="Arial Unicode MS"/>
                          <w:szCs w:val="24"/>
                        </w:rPr>
                        <w:t>.“</w:t>
                      </w:r>
                    </w:p>
                  </w:sdtContent>
                </w:sdt>
              </w:sdtContent>
            </w:sdt>
          </w:sdtContent>
        </w:sdt>
        <w:sdt>
          <w:sdtPr>
            <w:alias w:val="7 p."/>
            <w:tag w:val="part_9cc7163bf1ed4beeaa4b9c6459c4b57a"/>
            <w:id w:val="1928686074"/>
            <w:lock w:val="sdtLocked"/>
          </w:sdtPr>
          <w:sdtEndPr/>
          <w:sdtContent>
            <w:p w14:paraId="7501026F" w14:textId="77777777" w:rsidR="00C36727" w:rsidRDefault="0059652E">
              <w:pPr>
                <w:ind w:firstLine="567"/>
                <w:jc w:val="both"/>
                <w:rPr>
                  <w:szCs w:val="24"/>
                </w:rPr>
              </w:pPr>
              <w:sdt>
                <w:sdtPr>
                  <w:alias w:val="Numeris"/>
                  <w:tag w:val="nr_9cc7163bf1ed4beeaa4b9c6459c4b57a"/>
                  <w:id w:val="-220294915"/>
                  <w:lock w:val="sdtLocked"/>
                </w:sdtPr>
                <w:sdtEndPr/>
                <w:sdtContent>
                  <w:r w:rsidR="00690E01">
                    <w:rPr>
                      <w:szCs w:val="24"/>
                    </w:rPr>
                    <w:t>7</w:t>
                  </w:r>
                </w:sdtContent>
              </w:sdt>
              <w:r w:rsidR="00690E01">
                <w:rPr>
                  <w:szCs w:val="24"/>
                </w:rPr>
                <w:t>. Pakeičiu 9 priedo 4 punktą ir jį išdėstau taip:</w:t>
              </w:r>
            </w:p>
            <w:sdt>
              <w:sdtPr>
                <w:alias w:val="citata"/>
                <w:tag w:val="part_506bef0f566c42fd90234d24a1f2554a"/>
                <w:id w:val="-163166228"/>
                <w:lock w:val="sdtLocked"/>
              </w:sdtPr>
              <w:sdtEndPr/>
              <w:sdtContent>
                <w:sdt>
                  <w:sdtPr>
                    <w:alias w:val="4 p."/>
                    <w:tag w:val="part_9d3c30441e56408087a8db0b00bb1d3e"/>
                    <w:id w:val="2144470258"/>
                    <w:lock w:val="sdtLocked"/>
                  </w:sdtPr>
                  <w:sdtEndPr/>
                  <w:sdtContent>
                    <w:p w14:paraId="75010270" w14:textId="77777777" w:rsidR="00C36727" w:rsidRDefault="00690E01">
                      <w:pPr>
                        <w:ind w:firstLine="567"/>
                        <w:jc w:val="both"/>
                        <w:rPr>
                          <w:strike/>
                          <w:szCs w:val="24"/>
                        </w:rPr>
                      </w:pPr>
                      <w:r>
                        <w:rPr>
                          <w:szCs w:val="24"/>
                        </w:rPr>
                        <w:t>„</w:t>
                      </w:r>
                      <w:sdt>
                        <w:sdtPr>
                          <w:alias w:val="Numeris"/>
                          <w:tag w:val="nr_9d3c30441e56408087a8db0b00bb1d3e"/>
                          <w:id w:val="-1461338110"/>
                          <w:lock w:val="sdtLocked"/>
                        </w:sdtPr>
                        <w:sdtEndPr/>
                        <w:sdtContent>
                          <w:r>
                            <w:rPr>
                              <w:szCs w:val="24"/>
                            </w:rPr>
                            <w:t>4</w:t>
                          </w:r>
                        </w:sdtContent>
                      </w:sdt>
                      <w:r>
                        <w:rPr>
                          <w:szCs w:val="24"/>
                        </w:rPr>
                        <w:t>. Minimalus atstumas nuo atskirai statomo Namo ir jo priklausinių (išskyrus nesudėtingus statinius) iki kaimyninio žemės sklypo [6.1.7] ribos turi būti ne mažesnis kaip 3 metrai. Minimalus atstumas tiesiamų inžinerinių tinklų iki kaimyninio žemės sklypo ribos turi būti ne mažesnis kaip 1 metras, jei nepažeidžiami kaimyninio žemės sklypo [6.1.7] savininko (naudotojo) interesai. Mažinant pastatų atstumą iki kaimyninio žemės sklypo [6.1.7] ribos arba blokuojant gretimų žemės sklypų pastatus, turi būti išlaikomi gaisrinės saugos reikalavimai (žr. Gaisrinės saugos pagrindinius reikalavimus [6.6.3], Gyvenamųjų pastatų gaisrinės saugos taisykles [6.6.4]) ir gautas kaimyninio žemės sklypo [6.1.7] savininko sutikimas raštu, išskyrus atvejus, kai pastatų blokavimas numatytas patvirtintuose teritorijų planavimo dokumentuose. Mažinant tiesiamų inžinerinių tinklų atstumą iki kaimyninio žemės sklypo [6.1.7] ribos, reikalingas šio sklypo savininko sutikimas raštu. Atstumai nuo nesudėtingų statinių iki kaimyninio sklypo [6.1.7] ribos nurodyti STR 1.07.01:2010 [6.2.2].</w:t>
                      </w:r>
                    </w:p>
                    <w:p w14:paraId="75010271" w14:textId="77777777" w:rsidR="00C36727" w:rsidRDefault="00690E01">
                      <w:pPr>
                        <w:ind w:firstLine="567"/>
                        <w:jc w:val="both"/>
                        <w:rPr>
                          <w:szCs w:val="24"/>
                        </w:rPr>
                      </w:pPr>
                      <w:r>
                        <w:rPr>
                          <w:szCs w:val="24"/>
                        </w:rPr>
                        <w:t xml:space="preserve">Namo ir jo priklausinių, inžinerinių tinklų statyba, rekonstravimas ir remontas neturi daryti neleistino poveikio kaimyniniam žemės sklypui [6.1.7] ir jame esantiems statiniams. Šių statinių esminis reikalavimas „mechaninis atsparumas ir pastovumas“ turi būti užtikrintas pagal </w:t>
                      </w:r>
                      <w:r>
                        <w:rPr>
                          <w:szCs w:val="24"/>
                          <w:lang w:eastAsia="lt-LT"/>
                        </w:rPr>
                        <w:t xml:space="preserve">2011 m. kovo 9 d. Europos </w:t>
                      </w:r>
                      <w:r>
                        <w:rPr>
                          <w:szCs w:val="24"/>
                        </w:rPr>
                        <w:t>Parlamento ir Tarybos reglamento (ES) Nr. 305/2011 [6.1.6]</w:t>
                      </w:r>
                      <w:r>
                        <w:rPr>
                          <w:b/>
                          <w:szCs w:val="24"/>
                        </w:rPr>
                        <w:t xml:space="preserve"> </w:t>
                      </w:r>
                      <w:r>
                        <w:rPr>
                          <w:szCs w:val="24"/>
                        </w:rPr>
                        <w:t xml:space="preserve">reikalavimus.“ </w:t>
                      </w:r>
                    </w:p>
                    <w:p w14:paraId="75010272" w14:textId="77777777" w:rsidR="00C36727" w:rsidRDefault="00C36727">
                      <w:pPr>
                        <w:ind w:firstLine="567"/>
                        <w:jc w:val="both"/>
                        <w:rPr>
                          <w:b/>
                          <w:szCs w:val="24"/>
                        </w:rPr>
                      </w:pPr>
                    </w:p>
                    <w:p w14:paraId="75010273" w14:textId="77777777" w:rsidR="00C36727" w:rsidRDefault="00C36727">
                      <w:pPr>
                        <w:jc w:val="both"/>
                        <w:rPr>
                          <w:szCs w:val="24"/>
                        </w:rPr>
                      </w:pPr>
                    </w:p>
                    <w:p w14:paraId="75010274" w14:textId="77777777" w:rsidR="00C36727" w:rsidRDefault="00C36727">
                      <w:pPr>
                        <w:jc w:val="both"/>
                        <w:rPr>
                          <w:szCs w:val="24"/>
                        </w:rPr>
                      </w:pPr>
                    </w:p>
                    <w:p w14:paraId="75010275" w14:textId="77777777" w:rsidR="00C36727" w:rsidRDefault="0059652E">
                      <w:pPr>
                        <w:jc w:val="both"/>
                        <w:rPr>
                          <w:szCs w:val="24"/>
                        </w:rPr>
                      </w:pPr>
                    </w:p>
                  </w:sdtContent>
                </w:sdt>
              </w:sdtContent>
            </w:sdt>
          </w:sdtContent>
        </w:sdt>
        <w:sdt>
          <w:sdtPr>
            <w:alias w:val="signatura"/>
            <w:tag w:val="part_6f66123018464c75a98e57be7f4ffbfa"/>
            <w:id w:val="-274481796"/>
            <w:lock w:val="sdtLocked"/>
          </w:sdtPr>
          <w:sdtEndPr/>
          <w:sdtContent>
            <w:p w14:paraId="75010276" w14:textId="77777777" w:rsidR="00C36727" w:rsidRDefault="00690E01">
              <w:pPr>
                <w:tabs>
                  <w:tab w:val="left" w:pos="7655"/>
                </w:tabs>
                <w:jc w:val="both"/>
                <w:rPr>
                  <w:strike/>
                  <w:szCs w:val="24"/>
                </w:rPr>
              </w:pPr>
              <w:r>
                <w:rPr>
                  <w:szCs w:val="24"/>
                </w:rPr>
                <w:t>Aplinkos ministras</w:t>
              </w:r>
              <w:r>
                <w:rPr>
                  <w:szCs w:val="24"/>
                </w:rPr>
                <w:tab/>
                <w:t>Kęstutis Trečiokas</w:t>
              </w:r>
            </w:p>
          </w:sdtContent>
        </w:sdt>
      </w:sdtContent>
    </w:sdt>
    <w:sectPr w:rsidR="00C36727">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01027B" w14:textId="77777777" w:rsidR="00C36727" w:rsidRDefault="00690E01">
      <w:pPr>
        <w:rPr>
          <w:szCs w:val="24"/>
          <w:lang w:val="en-GB"/>
        </w:rPr>
      </w:pPr>
      <w:r>
        <w:rPr>
          <w:szCs w:val="24"/>
          <w:lang w:val="en-GB"/>
        </w:rPr>
        <w:separator/>
      </w:r>
    </w:p>
  </w:endnote>
  <w:endnote w:type="continuationSeparator" w:id="0">
    <w:p w14:paraId="7501027C" w14:textId="77777777" w:rsidR="00C36727" w:rsidRDefault="00690E01">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010280" w14:textId="77777777" w:rsidR="00C36727" w:rsidRDefault="00C36727">
    <w:pPr>
      <w:tabs>
        <w:tab w:val="center" w:pos="4153"/>
        <w:tab w:val="right" w:pos="8306"/>
      </w:tabs>
      <w:rPr>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010281" w14:textId="77777777" w:rsidR="00C36727" w:rsidRDefault="00C36727">
    <w:pPr>
      <w:tabs>
        <w:tab w:val="center" w:pos="4153"/>
        <w:tab w:val="right" w:pos="8306"/>
      </w:tabs>
      <w:rPr>
        <w:szCs w:val="24"/>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010283" w14:textId="77777777" w:rsidR="00C36727" w:rsidRDefault="00C36727">
    <w:pPr>
      <w:tabs>
        <w:tab w:val="center" w:pos="4153"/>
        <w:tab w:val="right" w:pos="8306"/>
      </w:tabs>
      <w:rPr>
        <w:szCs w:val="24"/>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010279" w14:textId="77777777" w:rsidR="00C36727" w:rsidRDefault="00690E01">
      <w:pPr>
        <w:rPr>
          <w:szCs w:val="24"/>
          <w:lang w:val="en-GB"/>
        </w:rPr>
      </w:pPr>
      <w:r>
        <w:rPr>
          <w:szCs w:val="24"/>
          <w:lang w:val="en-GB"/>
        </w:rPr>
        <w:separator/>
      </w:r>
    </w:p>
  </w:footnote>
  <w:footnote w:type="continuationSeparator" w:id="0">
    <w:p w14:paraId="7501027A" w14:textId="77777777" w:rsidR="00C36727" w:rsidRDefault="00690E01">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01027D" w14:textId="77777777" w:rsidR="00C36727" w:rsidRDefault="00690E01">
    <w:pPr>
      <w:framePr w:wrap="auto" w:vAnchor="text" w:hAnchor="margin" w:xAlign="center" w:y="1"/>
      <w:tabs>
        <w:tab w:val="center" w:pos="4153"/>
        <w:tab w:val="right" w:pos="9100"/>
      </w:tabs>
      <w:suppressAutoHyphens/>
      <w:ind w:firstLine="720"/>
      <w:jc w:val="both"/>
      <w:rPr>
        <w:rFonts w:ascii="Tahoma" w:hAnsi="Tahoma"/>
        <w:spacing w:val="10"/>
        <w:sz w:val="20"/>
        <w:lang w:eastAsia="ar-SA"/>
      </w:rPr>
    </w:pPr>
    <w:r>
      <w:rPr>
        <w:rFonts w:ascii="Tahoma" w:hAnsi="Tahoma"/>
        <w:spacing w:val="10"/>
        <w:sz w:val="20"/>
        <w:lang w:eastAsia="ar-SA"/>
      </w:rPr>
      <w:fldChar w:fldCharType="begin"/>
    </w:r>
    <w:r>
      <w:rPr>
        <w:rFonts w:ascii="Tahoma" w:hAnsi="Tahoma"/>
        <w:spacing w:val="10"/>
        <w:sz w:val="20"/>
        <w:lang w:eastAsia="ar-SA"/>
      </w:rPr>
      <w:instrText xml:space="preserve">PAGE  </w:instrText>
    </w:r>
    <w:r>
      <w:rPr>
        <w:rFonts w:ascii="Tahoma" w:hAnsi="Tahoma"/>
        <w:spacing w:val="10"/>
        <w:sz w:val="20"/>
        <w:lang w:eastAsia="ar-SA"/>
      </w:rPr>
      <w:fldChar w:fldCharType="end"/>
    </w:r>
  </w:p>
  <w:p w14:paraId="7501027E" w14:textId="77777777" w:rsidR="00C36727" w:rsidRDefault="00C36727">
    <w:pPr>
      <w:tabs>
        <w:tab w:val="center" w:pos="4153"/>
        <w:tab w:val="right" w:pos="9100"/>
      </w:tabs>
      <w:suppressAutoHyphens/>
      <w:ind w:firstLine="720"/>
      <w:jc w:val="both"/>
      <w:rPr>
        <w:rFonts w:ascii="Tahoma" w:hAnsi="Tahoma"/>
        <w:spacing w:val="10"/>
        <w:sz w:val="20"/>
        <w:lang w:eastAsia="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01027F" w14:textId="77777777" w:rsidR="00C36727" w:rsidRDefault="00690E01">
    <w:pPr>
      <w:jc w:val="center"/>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sidR="0059652E">
      <w:rPr>
        <w:noProof/>
        <w:szCs w:val="24"/>
        <w:lang w:val="en-GB"/>
      </w:rPr>
      <w:t>2</w:t>
    </w:r>
    <w:r>
      <w:rPr>
        <w:szCs w:val="24"/>
        <w:lang w:val="en-GB"/>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010282" w14:textId="77777777" w:rsidR="00C36727" w:rsidRDefault="00C36727">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14BA"/>
    <w:rsid w:val="003014BA"/>
    <w:rsid w:val="0059652E"/>
    <w:rsid w:val="00690E01"/>
    <w:rsid w:val="00C367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010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90E0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90E0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801061">
      <w:bodyDiv w:val="1"/>
      <w:marLeft w:val="0"/>
      <w:marRight w:val="0"/>
      <w:marTop w:val="0"/>
      <w:marBottom w:val="0"/>
      <w:divBdr>
        <w:top w:val="none" w:sz="0" w:space="0" w:color="auto"/>
        <w:left w:val="none" w:sz="0" w:space="0" w:color="auto"/>
        <w:bottom w:val="none" w:sz="0" w:space="0" w:color="auto"/>
        <w:right w:val="none" w:sz="0" w:space="0" w:color="auto"/>
      </w:divBdr>
    </w:div>
    <w:div w:id="230510160">
      <w:bodyDiv w:val="1"/>
      <w:marLeft w:val="0"/>
      <w:marRight w:val="0"/>
      <w:marTop w:val="0"/>
      <w:marBottom w:val="0"/>
      <w:divBdr>
        <w:top w:val="none" w:sz="0" w:space="0" w:color="auto"/>
        <w:left w:val="none" w:sz="0" w:space="0" w:color="auto"/>
        <w:bottom w:val="none" w:sz="0" w:space="0" w:color="auto"/>
        <w:right w:val="none" w:sz="0" w:space="0" w:color="auto"/>
      </w:divBdr>
    </w:div>
    <w:div w:id="249121596">
      <w:bodyDiv w:val="1"/>
      <w:marLeft w:val="0"/>
      <w:marRight w:val="0"/>
      <w:marTop w:val="0"/>
      <w:marBottom w:val="0"/>
      <w:divBdr>
        <w:top w:val="none" w:sz="0" w:space="0" w:color="auto"/>
        <w:left w:val="none" w:sz="0" w:space="0" w:color="auto"/>
        <w:bottom w:val="none" w:sz="0" w:space="0" w:color="auto"/>
        <w:right w:val="none" w:sz="0" w:space="0" w:color="auto"/>
      </w:divBdr>
    </w:div>
    <w:div w:id="294216546">
      <w:bodyDiv w:val="1"/>
      <w:marLeft w:val="0"/>
      <w:marRight w:val="0"/>
      <w:marTop w:val="0"/>
      <w:marBottom w:val="0"/>
      <w:divBdr>
        <w:top w:val="none" w:sz="0" w:space="0" w:color="auto"/>
        <w:left w:val="none" w:sz="0" w:space="0" w:color="auto"/>
        <w:bottom w:val="none" w:sz="0" w:space="0" w:color="auto"/>
        <w:right w:val="none" w:sz="0" w:space="0" w:color="auto"/>
      </w:divBdr>
    </w:div>
    <w:div w:id="297417544">
      <w:bodyDiv w:val="1"/>
      <w:marLeft w:val="0"/>
      <w:marRight w:val="0"/>
      <w:marTop w:val="0"/>
      <w:marBottom w:val="0"/>
      <w:divBdr>
        <w:top w:val="none" w:sz="0" w:space="0" w:color="auto"/>
        <w:left w:val="none" w:sz="0" w:space="0" w:color="auto"/>
        <w:bottom w:val="none" w:sz="0" w:space="0" w:color="auto"/>
        <w:right w:val="none" w:sz="0" w:space="0" w:color="auto"/>
      </w:divBdr>
    </w:div>
    <w:div w:id="361902326">
      <w:bodyDiv w:val="1"/>
      <w:marLeft w:val="0"/>
      <w:marRight w:val="0"/>
      <w:marTop w:val="0"/>
      <w:marBottom w:val="0"/>
      <w:divBdr>
        <w:top w:val="none" w:sz="0" w:space="0" w:color="auto"/>
        <w:left w:val="none" w:sz="0" w:space="0" w:color="auto"/>
        <w:bottom w:val="none" w:sz="0" w:space="0" w:color="auto"/>
        <w:right w:val="none" w:sz="0" w:space="0" w:color="auto"/>
      </w:divBdr>
    </w:div>
    <w:div w:id="383255032">
      <w:bodyDiv w:val="1"/>
      <w:marLeft w:val="0"/>
      <w:marRight w:val="0"/>
      <w:marTop w:val="0"/>
      <w:marBottom w:val="0"/>
      <w:divBdr>
        <w:top w:val="none" w:sz="0" w:space="0" w:color="auto"/>
        <w:left w:val="none" w:sz="0" w:space="0" w:color="auto"/>
        <w:bottom w:val="none" w:sz="0" w:space="0" w:color="auto"/>
        <w:right w:val="none" w:sz="0" w:space="0" w:color="auto"/>
      </w:divBdr>
    </w:div>
    <w:div w:id="537624425">
      <w:bodyDiv w:val="1"/>
      <w:marLeft w:val="0"/>
      <w:marRight w:val="0"/>
      <w:marTop w:val="0"/>
      <w:marBottom w:val="0"/>
      <w:divBdr>
        <w:top w:val="none" w:sz="0" w:space="0" w:color="auto"/>
        <w:left w:val="none" w:sz="0" w:space="0" w:color="auto"/>
        <w:bottom w:val="none" w:sz="0" w:space="0" w:color="auto"/>
        <w:right w:val="none" w:sz="0" w:space="0" w:color="auto"/>
      </w:divBdr>
    </w:div>
    <w:div w:id="662510776">
      <w:bodyDiv w:val="1"/>
      <w:marLeft w:val="0"/>
      <w:marRight w:val="0"/>
      <w:marTop w:val="0"/>
      <w:marBottom w:val="0"/>
      <w:divBdr>
        <w:top w:val="none" w:sz="0" w:space="0" w:color="auto"/>
        <w:left w:val="none" w:sz="0" w:space="0" w:color="auto"/>
        <w:bottom w:val="none" w:sz="0" w:space="0" w:color="auto"/>
        <w:right w:val="none" w:sz="0" w:space="0" w:color="auto"/>
      </w:divBdr>
    </w:div>
    <w:div w:id="687371996">
      <w:bodyDiv w:val="1"/>
      <w:marLeft w:val="0"/>
      <w:marRight w:val="0"/>
      <w:marTop w:val="0"/>
      <w:marBottom w:val="0"/>
      <w:divBdr>
        <w:top w:val="none" w:sz="0" w:space="0" w:color="auto"/>
        <w:left w:val="none" w:sz="0" w:space="0" w:color="auto"/>
        <w:bottom w:val="none" w:sz="0" w:space="0" w:color="auto"/>
        <w:right w:val="none" w:sz="0" w:space="0" w:color="auto"/>
      </w:divBdr>
    </w:div>
    <w:div w:id="703870296">
      <w:bodyDiv w:val="1"/>
      <w:marLeft w:val="0"/>
      <w:marRight w:val="0"/>
      <w:marTop w:val="0"/>
      <w:marBottom w:val="0"/>
      <w:divBdr>
        <w:top w:val="none" w:sz="0" w:space="0" w:color="auto"/>
        <w:left w:val="none" w:sz="0" w:space="0" w:color="auto"/>
        <w:bottom w:val="none" w:sz="0" w:space="0" w:color="auto"/>
        <w:right w:val="none" w:sz="0" w:space="0" w:color="auto"/>
      </w:divBdr>
    </w:div>
    <w:div w:id="749278161">
      <w:bodyDiv w:val="1"/>
      <w:marLeft w:val="0"/>
      <w:marRight w:val="0"/>
      <w:marTop w:val="0"/>
      <w:marBottom w:val="0"/>
      <w:divBdr>
        <w:top w:val="none" w:sz="0" w:space="0" w:color="auto"/>
        <w:left w:val="none" w:sz="0" w:space="0" w:color="auto"/>
        <w:bottom w:val="none" w:sz="0" w:space="0" w:color="auto"/>
        <w:right w:val="none" w:sz="0" w:space="0" w:color="auto"/>
      </w:divBdr>
    </w:div>
    <w:div w:id="780146818">
      <w:bodyDiv w:val="1"/>
      <w:marLeft w:val="0"/>
      <w:marRight w:val="0"/>
      <w:marTop w:val="0"/>
      <w:marBottom w:val="0"/>
      <w:divBdr>
        <w:top w:val="none" w:sz="0" w:space="0" w:color="auto"/>
        <w:left w:val="none" w:sz="0" w:space="0" w:color="auto"/>
        <w:bottom w:val="none" w:sz="0" w:space="0" w:color="auto"/>
        <w:right w:val="none" w:sz="0" w:space="0" w:color="auto"/>
      </w:divBdr>
    </w:div>
    <w:div w:id="853034433">
      <w:bodyDiv w:val="1"/>
      <w:marLeft w:val="0"/>
      <w:marRight w:val="0"/>
      <w:marTop w:val="0"/>
      <w:marBottom w:val="0"/>
      <w:divBdr>
        <w:top w:val="none" w:sz="0" w:space="0" w:color="auto"/>
        <w:left w:val="none" w:sz="0" w:space="0" w:color="auto"/>
        <w:bottom w:val="none" w:sz="0" w:space="0" w:color="auto"/>
        <w:right w:val="none" w:sz="0" w:space="0" w:color="auto"/>
      </w:divBdr>
    </w:div>
    <w:div w:id="888804783">
      <w:bodyDiv w:val="1"/>
      <w:marLeft w:val="0"/>
      <w:marRight w:val="0"/>
      <w:marTop w:val="0"/>
      <w:marBottom w:val="0"/>
      <w:divBdr>
        <w:top w:val="none" w:sz="0" w:space="0" w:color="auto"/>
        <w:left w:val="none" w:sz="0" w:space="0" w:color="auto"/>
        <w:bottom w:val="none" w:sz="0" w:space="0" w:color="auto"/>
        <w:right w:val="none" w:sz="0" w:space="0" w:color="auto"/>
      </w:divBdr>
    </w:div>
    <w:div w:id="955481559">
      <w:bodyDiv w:val="1"/>
      <w:marLeft w:val="0"/>
      <w:marRight w:val="0"/>
      <w:marTop w:val="0"/>
      <w:marBottom w:val="0"/>
      <w:divBdr>
        <w:top w:val="none" w:sz="0" w:space="0" w:color="auto"/>
        <w:left w:val="none" w:sz="0" w:space="0" w:color="auto"/>
        <w:bottom w:val="none" w:sz="0" w:space="0" w:color="auto"/>
        <w:right w:val="none" w:sz="0" w:space="0" w:color="auto"/>
      </w:divBdr>
    </w:div>
    <w:div w:id="1049650337">
      <w:bodyDiv w:val="1"/>
      <w:marLeft w:val="0"/>
      <w:marRight w:val="0"/>
      <w:marTop w:val="0"/>
      <w:marBottom w:val="0"/>
      <w:divBdr>
        <w:top w:val="none" w:sz="0" w:space="0" w:color="auto"/>
        <w:left w:val="none" w:sz="0" w:space="0" w:color="auto"/>
        <w:bottom w:val="none" w:sz="0" w:space="0" w:color="auto"/>
        <w:right w:val="none" w:sz="0" w:space="0" w:color="auto"/>
      </w:divBdr>
    </w:div>
    <w:div w:id="1067806231">
      <w:bodyDiv w:val="1"/>
      <w:marLeft w:val="0"/>
      <w:marRight w:val="0"/>
      <w:marTop w:val="0"/>
      <w:marBottom w:val="0"/>
      <w:divBdr>
        <w:top w:val="none" w:sz="0" w:space="0" w:color="auto"/>
        <w:left w:val="none" w:sz="0" w:space="0" w:color="auto"/>
        <w:bottom w:val="none" w:sz="0" w:space="0" w:color="auto"/>
        <w:right w:val="none" w:sz="0" w:space="0" w:color="auto"/>
      </w:divBdr>
    </w:div>
    <w:div w:id="1138452332">
      <w:bodyDiv w:val="1"/>
      <w:marLeft w:val="0"/>
      <w:marRight w:val="0"/>
      <w:marTop w:val="0"/>
      <w:marBottom w:val="0"/>
      <w:divBdr>
        <w:top w:val="none" w:sz="0" w:space="0" w:color="auto"/>
        <w:left w:val="none" w:sz="0" w:space="0" w:color="auto"/>
        <w:bottom w:val="none" w:sz="0" w:space="0" w:color="auto"/>
        <w:right w:val="none" w:sz="0" w:space="0" w:color="auto"/>
      </w:divBdr>
    </w:div>
    <w:div w:id="1157458237">
      <w:bodyDiv w:val="1"/>
      <w:marLeft w:val="0"/>
      <w:marRight w:val="0"/>
      <w:marTop w:val="0"/>
      <w:marBottom w:val="0"/>
      <w:divBdr>
        <w:top w:val="none" w:sz="0" w:space="0" w:color="auto"/>
        <w:left w:val="none" w:sz="0" w:space="0" w:color="auto"/>
        <w:bottom w:val="none" w:sz="0" w:space="0" w:color="auto"/>
        <w:right w:val="none" w:sz="0" w:space="0" w:color="auto"/>
      </w:divBdr>
    </w:div>
    <w:div w:id="1205215327">
      <w:bodyDiv w:val="1"/>
      <w:marLeft w:val="0"/>
      <w:marRight w:val="0"/>
      <w:marTop w:val="0"/>
      <w:marBottom w:val="0"/>
      <w:divBdr>
        <w:top w:val="none" w:sz="0" w:space="0" w:color="auto"/>
        <w:left w:val="none" w:sz="0" w:space="0" w:color="auto"/>
        <w:bottom w:val="none" w:sz="0" w:space="0" w:color="auto"/>
        <w:right w:val="none" w:sz="0" w:space="0" w:color="auto"/>
      </w:divBdr>
    </w:div>
    <w:div w:id="1373338261">
      <w:bodyDiv w:val="1"/>
      <w:marLeft w:val="0"/>
      <w:marRight w:val="0"/>
      <w:marTop w:val="0"/>
      <w:marBottom w:val="0"/>
      <w:divBdr>
        <w:top w:val="none" w:sz="0" w:space="0" w:color="auto"/>
        <w:left w:val="none" w:sz="0" w:space="0" w:color="auto"/>
        <w:bottom w:val="none" w:sz="0" w:space="0" w:color="auto"/>
        <w:right w:val="none" w:sz="0" w:space="0" w:color="auto"/>
      </w:divBdr>
    </w:div>
    <w:div w:id="1464494001">
      <w:bodyDiv w:val="1"/>
      <w:marLeft w:val="0"/>
      <w:marRight w:val="0"/>
      <w:marTop w:val="0"/>
      <w:marBottom w:val="0"/>
      <w:divBdr>
        <w:top w:val="none" w:sz="0" w:space="0" w:color="auto"/>
        <w:left w:val="none" w:sz="0" w:space="0" w:color="auto"/>
        <w:bottom w:val="none" w:sz="0" w:space="0" w:color="auto"/>
        <w:right w:val="none" w:sz="0" w:space="0" w:color="auto"/>
      </w:divBdr>
    </w:div>
    <w:div w:id="1887834855">
      <w:bodyDiv w:val="1"/>
      <w:marLeft w:val="0"/>
      <w:marRight w:val="0"/>
      <w:marTop w:val="0"/>
      <w:marBottom w:val="0"/>
      <w:divBdr>
        <w:top w:val="none" w:sz="0" w:space="0" w:color="auto"/>
        <w:left w:val="none" w:sz="0" w:space="0" w:color="auto"/>
        <w:bottom w:val="none" w:sz="0" w:space="0" w:color="auto"/>
        <w:right w:val="none" w:sz="0" w:space="0" w:color="auto"/>
      </w:divBdr>
    </w:div>
    <w:div w:id="1938056398">
      <w:bodyDiv w:val="1"/>
      <w:marLeft w:val="0"/>
      <w:marRight w:val="0"/>
      <w:marTop w:val="0"/>
      <w:marBottom w:val="0"/>
      <w:divBdr>
        <w:top w:val="none" w:sz="0" w:space="0" w:color="auto"/>
        <w:left w:val="none" w:sz="0" w:space="0" w:color="auto"/>
        <w:bottom w:val="none" w:sz="0" w:space="0" w:color="auto"/>
        <w:right w:val="none" w:sz="0" w:space="0" w:color="auto"/>
      </w:divBdr>
    </w:div>
    <w:div w:id="1943754957">
      <w:bodyDiv w:val="1"/>
      <w:marLeft w:val="0"/>
      <w:marRight w:val="0"/>
      <w:marTop w:val="0"/>
      <w:marBottom w:val="0"/>
      <w:divBdr>
        <w:top w:val="none" w:sz="0" w:space="0" w:color="auto"/>
        <w:left w:val="none" w:sz="0" w:space="0" w:color="auto"/>
        <w:bottom w:val="none" w:sz="0" w:space="0" w:color="auto"/>
        <w:right w:val="none" w:sz="0" w:space="0" w:color="auto"/>
      </w:divBdr>
    </w:div>
    <w:div w:id="2063627659">
      <w:bodyDiv w:val="1"/>
      <w:marLeft w:val="0"/>
      <w:marRight w:val="0"/>
      <w:marTop w:val="0"/>
      <w:marBottom w:val="0"/>
      <w:divBdr>
        <w:top w:val="none" w:sz="0" w:space="0" w:color="auto"/>
        <w:left w:val="none" w:sz="0" w:space="0" w:color="auto"/>
        <w:bottom w:val="none" w:sz="0" w:space="0" w:color="auto"/>
        <w:right w:val="none" w:sz="0" w:space="0" w:color="auto"/>
      </w:divBdr>
    </w:div>
    <w:div w:id="2137798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9C2"/>
    <w:rsid w:val="002349C2"/>
    <w:rsid w:val="00367B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03EFFDA"/>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67BB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67BB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6171062ad7b40cfa04cf92d80115cbe" PartId="028b3f27c29840959c1c2b3d3983a63d">
    <Part Type="preambule" DocPartId="10e159a507824d58a40a33f285428ae3" PartId="82574e7afbcc41d0b5320c53fe17b89f"/>
    <Part Type="punktas" Nr="1" Abbr="1 p." DocPartId="0d429d8aa4e24d35b7361075096255f1" PartId="94b5b984dc324802a9cd29884413cc8b">
      <Part Type="citata" DocPartId="c488e5668fcb425c85f5e28208de2a10" PartId="13b850ffa26040138b87a64d51e8d9ea">
        <Part Type="papunktis" Nr="6.1.7" Abbr="6.1.7 pp." Title="" Notes="" DocPartId="d55473cb1f7a460ea1fd34a31ec797e5" PartId="57162a90ffb9451bbf7a9bcb0f0a6639"/>
      </Part>
    </Part>
    <Part Type="punktas" Nr="2" Abbr="2 p." DocPartId="aa706c4c924349c1b0d676d6b8c86f36" PartId="35373f6e99724de791067ae15295c49e"/>
    <Part Type="punktas" Nr="3" Abbr="3 p." DocPartId="c3948a93f9634aff97aa49e034cbdb3b" PartId="49bcfb51ebcd428e8b61ce6ad8ad9de2">
      <Part Type="citata" Nr="" Abbr="" Title="" Notes="" DocPartId="f551a82e838b4117897c56806399f3b2" PartId="7130df3583874aa1989ef6a3b40bea08">
        <Part Type="papunktis" Nr="6.6.5" Abbr="6.6.5 pp." Title="" Notes="" DocPartId="f28ddeeb4abb44e7a7f06c6fbdf522ea" PartId="1db1885c23b14c2794aafde577ef4aa7"/>
      </Part>
    </Part>
    <Part Type="punktas" Nr="4" Abbr="4 p." DocPartId="3537768a9c204e33a5372e3baac0e400" PartId="6090e9d915f3436da4ef6a755a0c46cb">
      <Part Type="citata" Nr="" Abbr="" Title="" Notes="" DocPartId="8a18f80fc8084d3493e5b893378715a3" PartId="1f2064a35c72400bb9da11ad8e7a58f7">
        <Part Type="papunktis" Nr="7.4" Abbr="7.4 pp." Title="" Notes="" DocPartId="89010b74ee9b42bc9002e7628e91b5d5" PartId="b57bc4d032dd45cd87fb8d48d7243813"/>
      </Part>
    </Part>
    <Part Type="punktas" Nr="5" Abbr="5 p." Title="" Notes="" DocPartId="4a501eda6ff8408d99cd6d4e90b10144" PartId="b7600bc91b8147249be97a1ff7ab31c5">
      <Part Type="citata" DocPartId="71ffe891bab74fce8a82b5862c45e1c3" PartId="d1fe834a8b924f19b38033867adea86f">
        <Part Type="punktas" Nr="1" Abbr="1 p." DocPartId="7eb26ee44124498c84615ce3c57733b0" PartId="15577f3fa2cb449ebd0c59176989df80"/>
      </Part>
    </Part>
    <Part Type="punktas" Nr="6" Abbr="6 p." DocPartId="3402d71013b5435498b0ac321e76901a" PartId="dce664a87e7c4a3a89ff9fb503592ee7">
      <Part Type="citata" DocPartId="52f6b2c1e08a4d0eb9af1e94c5c95bd1" PartId="a010028f2be441b884a0b9085d465b5a">
        <Part Type="punktas" Nr="3" Abbr="3 p." DocPartId="10b482740405403c9dc55be3bd1ca61c" PartId="fbad2cfd3e664b34befc7d45b21d6b71"/>
      </Part>
    </Part>
    <Part Type="punktas" Nr="7" Abbr="7 p." DocPartId="1e8c6cf5635e4a85af1c431691ed888f" PartId="9cc7163bf1ed4beeaa4b9c6459c4b57a">
      <Part Type="citata" DocPartId="8724a6b58adc439e8bde068dc26024a2" PartId="506bef0f566c42fd90234d24a1f2554a">
        <Part Type="punktas" Nr="4" Abbr="4 p." DocPartId="b610012061dd46c5b4a348260369e0c4" PartId="9d3c30441e56408087a8db0b00bb1d3e"/>
      </Part>
    </Part>
    <Part Type="signatura" DocPartId="11cfe5c5a90746df8cc09e78ad9d8b7e" PartId="6f66123018464c75a98e57be7f4ffbfa"/>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BB4634-B5AE-4334-A25B-5830F7DF50E8}">
  <ds:schemaRefs>
    <ds:schemaRef ds:uri="http://lrs.lt/TAIS/DocParts"/>
  </ds:schemaRefs>
</ds:datastoreItem>
</file>

<file path=customXml/itemProps2.xml><?xml version="1.0" encoding="utf-8"?>
<ds:datastoreItem xmlns:ds="http://schemas.openxmlformats.org/officeDocument/2006/customXml" ds:itemID="{1D5CA498-499A-44E6-9950-2B599B8EF5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574</Words>
  <Characters>4000</Characters>
  <Application>Microsoft Office Word</Application>
  <DocSecurity>0</DocSecurity>
  <Lines>33</Lines>
  <Paragraphs>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Projekto</vt:lpstr>
      <vt:lpstr>Projekto</vt:lpstr>
    </vt:vector>
  </TitlesOfParts>
  <Company>AM</Company>
  <LinksUpToDate>false</LinksUpToDate>
  <CharactersWithSpaces>4565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Projekto</dc:title>
  <dc:creator>m-rimkevicius</dc:creator>
  <cp:lastModifiedBy>JUOSPONIENĖ Karolina</cp:lastModifiedBy>
  <cp:revision>4</cp:revision>
  <cp:lastPrinted>2016-07-13T05:31:00Z</cp:lastPrinted>
  <dcterms:created xsi:type="dcterms:W3CDTF">2016-07-14T14:58:00Z</dcterms:created>
  <dcterms:modified xsi:type="dcterms:W3CDTF">2016-07-15T08:13:00Z</dcterms:modified>
</cp:coreProperties>
</file>