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activeX/activeX1.xml" ContentType="application/vnd.ms-office.activeX+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24ce1258bb44dbca4b505625efca47a"/>
        <w:id w:val="-938906601"/>
        <w:lock w:val="sdtLocked"/>
      </w:sdtPr>
      <w:sdtEndPr/>
      <w:sdtContent>
        <w:p w14:paraId="60CFA9CF" w14:textId="77777777" w:rsidR="00B267D6" w:rsidRDefault="00A17BE0">
          <w:pPr>
            <w:widowControl w:val="0"/>
            <w:shd w:val="clear" w:color="auto" w:fill="FFFFFF"/>
            <w:jc w:val="center"/>
          </w:pPr>
          <w:r>
            <w:pict w14:anchorId="60CFA9F0">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6" o:title=""/>
              </v:shape>
              <w:control r:id="rId7" w:name="Control 2" w:shapeid="_x0000_s1026"/>
            </w:pict>
          </w:r>
          <w:r>
            <w:t>LIETUVOS RESPUBLIKOS SOCIALINĖS APSAUGOS IR DARBO MINISTRO</w:t>
          </w:r>
        </w:p>
        <w:p w14:paraId="60CFA9D0" w14:textId="77777777" w:rsidR="00B267D6" w:rsidRDefault="00A17BE0">
          <w:pPr>
            <w:widowControl w:val="0"/>
            <w:shd w:val="clear" w:color="auto" w:fill="FFFFFF"/>
            <w:jc w:val="center"/>
            <w:rPr>
              <w:spacing w:val="60"/>
            </w:rPr>
          </w:pPr>
          <w:r>
            <w:rPr>
              <w:spacing w:val="60"/>
            </w:rPr>
            <w:t>ĮSAKYMAS</w:t>
          </w:r>
        </w:p>
        <w:p w14:paraId="60CFA9D1" w14:textId="77777777" w:rsidR="00B267D6" w:rsidRDefault="00B267D6">
          <w:pPr>
            <w:jc w:val="center"/>
          </w:pPr>
        </w:p>
        <w:p w14:paraId="60CFA9D2" w14:textId="77777777" w:rsidR="00B267D6" w:rsidRDefault="00A17BE0">
          <w:pPr>
            <w:widowControl w:val="0"/>
            <w:shd w:val="clear" w:color="auto" w:fill="FFFFFF"/>
            <w:jc w:val="center"/>
          </w:pPr>
          <w:r>
            <w:rPr>
              <w:b/>
              <w:bCs/>
            </w:rPr>
            <w:t>DĖL LIETUVOS RESPUBLIKOS SOCIALINĖS APSAUGOS IR DARBO MINISTRO 2006 M. BALANDŽIO 5 D. ĮSAKYMO NR. A1-94 „DĖL ASMENS (ŠEIMOS) SOCIALINIŲ PASLAUGŲ POREIKI</w:t>
          </w:r>
          <w:r>
            <w:rPr>
              <w:b/>
              <w:bCs/>
            </w:rPr>
            <w:t>O NUSTATYMO IR SKYRIMO TVARKOS APRAŠO IR SENYVO AMŽIAUS ASMENS BEI SUAUGUSIO ASMENS SU NEGALIA SOCIALINĖS GLOBOS POREIKIO NUSTATYMO METODIKOS PATVIRTINIMO“ PAKEITIMO</w:t>
          </w:r>
        </w:p>
        <w:p w14:paraId="60CFA9D3" w14:textId="77777777" w:rsidR="00B267D6" w:rsidRDefault="00B267D6">
          <w:pPr>
            <w:jc w:val="center"/>
          </w:pPr>
        </w:p>
        <w:p w14:paraId="60CFA9D4" w14:textId="77777777" w:rsidR="00B267D6" w:rsidRDefault="00A17BE0">
          <w:pPr>
            <w:widowControl w:val="0"/>
            <w:shd w:val="clear" w:color="auto" w:fill="FFFFFF"/>
            <w:jc w:val="center"/>
          </w:pPr>
          <w:r>
            <w:t>2007 m. gruodžio 27 d. Nr. A1-373</w:t>
          </w:r>
        </w:p>
        <w:p w14:paraId="60CFA9D5" w14:textId="77777777" w:rsidR="00B267D6" w:rsidRDefault="00A17BE0">
          <w:pPr>
            <w:widowControl w:val="0"/>
            <w:shd w:val="clear" w:color="auto" w:fill="FFFFFF"/>
            <w:jc w:val="center"/>
          </w:pPr>
          <w:r>
            <w:t>Vilnius</w:t>
          </w:r>
        </w:p>
        <w:p w14:paraId="60CFA9D6" w14:textId="77777777" w:rsidR="00B267D6" w:rsidRDefault="00B267D6">
          <w:pPr>
            <w:jc w:val="both"/>
          </w:pPr>
        </w:p>
        <w:sdt>
          <w:sdtPr>
            <w:alias w:val="pastraipa"/>
            <w:tag w:val="part_8cd41efcb8fd4f3180f6c7b93510af31"/>
            <w:id w:val="1219712787"/>
            <w:lock w:val="sdtLocked"/>
          </w:sdtPr>
          <w:sdtEndPr/>
          <w:sdtContent>
            <w:p w14:paraId="60CFA9D7" w14:textId="77777777" w:rsidR="00B267D6" w:rsidRDefault="00A17BE0">
              <w:pPr>
                <w:widowControl w:val="0"/>
                <w:shd w:val="clear" w:color="auto" w:fill="FFFFFF"/>
                <w:ind w:firstLine="567"/>
                <w:jc w:val="both"/>
              </w:pPr>
              <w:r>
                <w:rPr>
                  <w:spacing w:val="60"/>
                </w:rPr>
                <w:t>Pakeičiu</w:t>
              </w:r>
              <w:r>
                <w:t xml:space="preserve"> Lietuvos Respublikos socialinės apsau</w:t>
              </w:r>
              <w:r>
                <w:t>gos ir darbo ministro 2006 m. balandžio 5 d. įsakymą Nr. A1-94 „Dėl Asmens (šeimos) socialinių paslaugų poreikio nustatymo ir skyrimo tvarkos aprašo ir Senyvo amžiaus asmens bei suaugusio asmens su negalia socialinės globos poreikio nustatymo metodikos pat</w:t>
              </w:r>
              <w:r>
                <w:t xml:space="preserve">virtinimo“ (Žin., 2006, Nr. </w:t>
              </w:r>
              <w:hyperlink r:id="rId8" w:tgtFrame="_blank" w:history="1">
                <w:r>
                  <w:rPr>
                    <w:color w:val="0000FF" w:themeColor="hyperlink"/>
                    <w:u w:val="single"/>
                  </w:rPr>
                  <w:t>43-1571</w:t>
                </w:r>
              </w:hyperlink>
              <w:r>
                <w:t xml:space="preserve">; 2007, Nr. </w:t>
              </w:r>
              <w:hyperlink r:id="rId9" w:tgtFrame="_blank" w:history="1">
                <w:r>
                  <w:rPr>
                    <w:color w:val="0000FF" w:themeColor="hyperlink"/>
                    <w:u w:val="single"/>
                  </w:rPr>
                  <w:t>32-1162</w:t>
                </w:r>
              </w:hyperlink>
              <w:r>
                <w:t xml:space="preserve">, Nr. </w:t>
              </w:r>
              <w:hyperlink r:id="rId10" w:tgtFrame="_blank" w:history="1">
                <w:r>
                  <w:rPr>
                    <w:color w:val="0000FF" w:themeColor="hyperlink"/>
                    <w:u w:val="single"/>
                  </w:rPr>
                  <w:t>81-3351</w:t>
                </w:r>
              </w:hyperlink>
              <w:r>
                <w:t>):</w:t>
              </w:r>
            </w:p>
          </w:sdtContent>
        </w:sdt>
        <w:sdt>
          <w:sdtPr>
            <w:alias w:val="1 p."/>
            <w:tag w:val="part_1f4b1caf7e894a49b3a4f5892d3655b5"/>
            <w:id w:val="841442100"/>
            <w:lock w:val="sdtLocked"/>
          </w:sdtPr>
          <w:sdtEndPr/>
          <w:sdtContent>
            <w:p w14:paraId="60CFA9D8" w14:textId="77777777" w:rsidR="00B267D6" w:rsidRDefault="00A17BE0">
              <w:pPr>
                <w:widowControl w:val="0"/>
                <w:shd w:val="clear" w:color="auto" w:fill="FFFFFF"/>
                <w:ind w:firstLine="567"/>
                <w:jc w:val="both"/>
              </w:pPr>
              <w:sdt>
                <w:sdtPr>
                  <w:alias w:val="Numeris"/>
                  <w:tag w:val="nr_1f4b1caf7e894a49b3a4f5892d3655b5"/>
                  <w:id w:val="-708189270"/>
                  <w:lock w:val="sdtLocked"/>
                </w:sdtPr>
                <w:sdtEndPr/>
                <w:sdtContent>
                  <w:r>
                    <w:t>1</w:t>
                  </w:r>
                </w:sdtContent>
              </w:sdt>
              <w:r>
                <w:t>. Išdėstau nurodytuoju įsakymu patvirtinto Asmens (šeimos) socialinių paslaugų poreikio nustatymo ir skyrimo tvarkos aprašo 66 punktą taip:</w:t>
              </w:r>
            </w:p>
            <w:sdt>
              <w:sdtPr>
                <w:alias w:val="citata"/>
                <w:tag w:val="part_33e950d9010f4d8b9606b73830312236"/>
                <w:id w:val="-1655989147"/>
                <w:lock w:val="sdtLocked"/>
              </w:sdtPr>
              <w:sdtEndPr/>
              <w:sdtContent>
                <w:sdt>
                  <w:sdtPr>
                    <w:alias w:val="66 p."/>
                    <w:tag w:val="part_1ce18d5f87204aefb2306a9a93bc1e69"/>
                    <w:id w:val="-2072655108"/>
                    <w:lock w:val="sdtLocked"/>
                  </w:sdtPr>
                  <w:sdtEndPr/>
                  <w:sdtContent>
                    <w:p w14:paraId="60CFA9D9" w14:textId="77777777" w:rsidR="00B267D6" w:rsidRDefault="00A17BE0">
                      <w:pPr>
                        <w:widowControl w:val="0"/>
                        <w:shd w:val="clear" w:color="auto" w:fill="FFFFFF"/>
                        <w:ind w:firstLine="567"/>
                        <w:jc w:val="both"/>
                      </w:pPr>
                      <w:r>
                        <w:t>„</w:t>
                      </w:r>
                      <w:sdt>
                        <w:sdtPr>
                          <w:alias w:val="Numeris"/>
                          <w:tag w:val="nr_1ce18d5f87204aefb2306a9a93bc1e69"/>
                          <w:id w:val="1759628762"/>
                          <w:lock w:val="sdtLocked"/>
                        </w:sdtPr>
                        <w:sdtEndPr/>
                        <w:sdtContent>
                          <w:r>
                            <w:t>66</w:t>
                          </w:r>
                        </w:sdtContent>
                      </w:sdt>
                      <w:r>
                        <w:t>. Apskrities asmenų eilė ilgalaikei socialinei globai g</w:t>
                      </w:r>
                      <w:r>
                        <w:t>auti sudaroma pagal savivaldybių pateiktų sprendimų dėl ilgalaikės socialinės globos skyrimo apskrities Globos namuose priėmimo datą. Apskrities viršininkas paskirsto vietų apskrities Globos namuose skaičių vadovaudamasis Socialinių paslaugų planavimo meto</w:t>
                      </w:r>
                      <w:r>
                        <w:t xml:space="preserve">dika, patvirtinta Lietuvos Respublikos Vyriausybės 2006 m. lapkričio 15 d. nutarimu Nr. 1132 (Žin., 2006, Nr. </w:t>
                      </w:r>
                      <w:hyperlink r:id="rId11" w:tgtFrame="_blank" w:history="1">
                        <w:r>
                          <w:rPr>
                            <w:color w:val="0000FF" w:themeColor="hyperlink"/>
                            <w:u w:val="single"/>
                          </w:rPr>
                          <w:t>124-4705</w:t>
                        </w:r>
                      </w:hyperlink>
                      <w:r>
                        <w:t>). Savivaldybės gali keisti nustatytą vietų apskrities Glob</w:t>
                      </w:r>
                      <w:r>
                        <w:t>os namuose skaičių tik suderinusios su apskrities viršininku ir jam priėmus sprendimą dėl vietų skaičiaus paskirstymo.“</w:t>
                      </w:r>
                    </w:p>
                  </w:sdtContent>
                </w:sdt>
              </w:sdtContent>
            </w:sdt>
          </w:sdtContent>
        </w:sdt>
        <w:sdt>
          <w:sdtPr>
            <w:alias w:val="2 p."/>
            <w:tag w:val="part_1bd476e6c4324e99b5515e8139458143"/>
            <w:id w:val="424306422"/>
            <w:lock w:val="sdtLocked"/>
          </w:sdtPr>
          <w:sdtEndPr/>
          <w:sdtContent>
            <w:p w14:paraId="60CFA9DA" w14:textId="77777777" w:rsidR="00B267D6" w:rsidRDefault="00A17BE0">
              <w:pPr>
                <w:widowControl w:val="0"/>
                <w:shd w:val="clear" w:color="auto" w:fill="FFFFFF"/>
                <w:ind w:firstLine="567"/>
                <w:jc w:val="both"/>
              </w:pPr>
              <w:sdt>
                <w:sdtPr>
                  <w:alias w:val="Numeris"/>
                  <w:tag w:val="nr_1bd476e6c4324e99b5515e8139458143"/>
                  <w:id w:val="693512243"/>
                  <w:lock w:val="sdtLocked"/>
                </w:sdtPr>
                <w:sdtEndPr/>
                <w:sdtContent>
                  <w:r>
                    <w:t>2</w:t>
                  </w:r>
                </w:sdtContent>
              </w:sdt>
              <w:r>
                <w:t xml:space="preserve">. Nurodytuoju įsakymu patvirtintoje Senyvo amžiaus asmens bei suaugusio asmens su negalia socialinės globos poreikio nustatymo </w:t>
              </w:r>
              <w:r>
                <w:t>metodikoje:</w:t>
              </w:r>
            </w:p>
            <w:sdt>
              <w:sdtPr>
                <w:alias w:val="2.1 p."/>
                <w:tag w:val="part_d7f2545b8cce46aa81e36b0eb2738179"/>
                <w:id w:val="-81461535"/>
                <w:lock w:val="sdtLocked"/>
              </w:sdtPr>
              <w:sdtEndPr/>
              <w:sdtContent>
                <w:p w14:paraId="60CFA9DB" w14:textId="77777777" w:rsidR="00B267D6" w:rsidRDefault="00A17BE0">
                  <w:pPr>
                    <w:widowControl w:val="0"/>
                    <w:shd w:val="clear" w:color="auto" w:fill="FFFFFF"/>
                    <w:ind w:firstLine="567"/>
                    <w:jc w:val="both"/>
                  </w:pPr>
                  <w:sdt>
                    <w:sdtPr>
                      <w:alias w:val="Numeris"/>
                      <w:tag w:val="nr_d7f2545b8cce46aa81e36b0eb2738179"/>
                      <w:id w:val="1860539805"/>
                      <w:lock w:val="sdtLocked"/>
                    </w:sdtPr>
                    <w:sdtEndPr/>
                    <w:sdtContent>
                      <w:r>
                        <w:t>2.1</w:t>
                      </w:r>
                    </w:sdtContent>
                  </w:sdt>
                  <w:r>
                    <w:t>. Išdėstau 1 priedo 21.3 punktą taip:</w:t>
                  </w:r>
                </w:p>
                <w:p w14:paraId="60CFA9DC" w14:textId="77777777" w:rsidR="00B267D6" w:rsidRDefault="00B267D6">
                  <w:pPr>
                    <w:jc w:val="both"/>
                  </w:pPr>
                </w:p>
                <w:tbl>
                  <w:tblPr>
                    <w:tblW w:w="9072" w:type="dxa"/>
                    <w:tblInd w:w="40" w:type="dxa"/>
                    <w:tblBorders>
                      <w:top w:val="single" w:sz="6" w:space="0" w:color="auto"/>
                      <w:bottom w:val="single" w:sz="4"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48"/>
                    <w:gridCol w:w="6783"/>
                    <w:gridCol w:w="1441"/>
                  </w:tblGrid>
                  <w:tr w:rsidR="00B267D6" w14:paraId="60CFA9E2" w14:textId="77777777">
                    <w:trPr>
                      <w:cantSplit/>
                      <w:trHeight w:val="1586"/>
                    </w:trPr>
                    <w:tc>
                      <w:tcPr>
                        <w:tcW w:w="848" w:type="dxa"/>
                        <w:shd w:val="clear" w:color="auto" w:fill="FFFFFF"/>
                      </w:tcPr>
                      <w:p w14:paraId="60CFA9DD" w14:textId="77777777" w:rsidR="00B267D6" w:rsidRDefault="00A17BE0">
                        <w:pPr>
                          <w:widowControl w:val="0"/>
                          <w:shd w:val="clear" w:color="auto" w:fill="FFFFFF"/>
                          <w:rPr>
                            <w:sz w:val="22"/>
                          </w:rPr>
                        </w:pPr>
                        <w:r>
                          <w:rPr>
                            <w:sz w:val="22"/>
                          </w:rPr>
                          <w:t>21.3</w:t>
                        </w:r>
                      </w:p>
                    </w:tc>
                    <w:tc>
                      <w:tcPr>
                        <w:tcW w:w="6783" w:type="dxa"/>
                        <w:shd w:val="clear" w:color="auto" w:fill="FFFFFF"/>
                      </w:tcPr>
                      <w:p w14:paraId="60CFA9DE" w14:textId="77777777" w:rsidR="00B267D6" w:rsidRDefault="00A17BE0">
                        <w:pPr>
                          <w:widowControl w:val="0"/>
                          <w:shd w:val="clear" w:color="auto" w:fill="FFFFFF"/>
                          <w:rPr>
                            <w:sz w:val="22"/>
                          </w:rPr>
                        </w:pPr>
                        <w:r>
                          <w:rPr>
                            <w:sz w:val="22"/>
                          </w:rPr>
                          <w:t xml:space="preserve">Asmens galimybės pagrindinėse jo veiklos srityse dėl sveikatos būklės yra visiškai ribotos, be kitų pagalbos negali atlikti beveik nieko, specialiųjų poreikių apimtis yra didelė ir dėl to teisės </w:t>
                        </w:r>
                        <w:r>
                          <w:rPr>
                            <w:sz w:val="22"/>
                          </w:rPr>
                          <w:t>aktų nustatyta tvarka yra nustatytas:</w:t>
                        </w:r>
                      </w:p>
                      <w:p w14:paraId="60CFA9DF" w14:textId="77777777" w:rsidR="00B267D6" w:rsidRDefault="00A17BE0">
                        <w:pPr>
                          <w:widowControl w:val="0"/>
                          <w:shd w:val="clear" w:color="auto" w:fill="FFFFFF"/>
                          <w:rPr>
                            <w:sz w:val="22"/>
                          </w:rPr>
                        </w:pPr>
                        <w:r>
                          <w:rPr>
                            <w:sz w:val="22"/>
                          </w:rPr>
                          <w:t>– specialusis nuolatinės slaugos poreikis,</w:t>
                        </w:r>
                      </w:p>
                      <w:p w14:paraId="60CFA9E0" w14:textId="77777777" w:rsidR="00B267D6" w:rsidRDefault="00A17BE0">
                        <w:pPr>
                          <w:widowControl w:val="0"/>
                          <w:shd w:val="clear" w:color="auto" w:fill="FFFFFF"/>
                          <w:rPr>
                            <w:sz w:val="22"/>
                          </w:rPr>
                        </w:pPr>
                        <w:r>
                          <w:rPr>
                            <w:sz w:val="22"/>
                          </w:rPr>
                          <w:t>– nuolatinės priežiūros (pagalbos) poreikis dėl protinio atsilikimo ar psichikos sutrikimų</w:t>
                        </w:r>
                      </w:p>
                    </w:tc>
                    <w:tc>
                      <w:tcPr>
                        <w:tcW w:w="1441" w:type="dxa"/>
                        <w:shd w:val="clear" w:color="auto" w:fill="FFFFFF"/>
                      </w:tcPr>
                      <w:p w14:paraId="60CFA9E1" w14:textId="77777777" w:rsidR="00B267D6" w:rsidRDefault="00A17BE0">
                        <w:pPr>
                          <w:widowControl w:val="0"/>
                          <w:shd w:val="clear" w:color="auto" w:fill="FFFFFF"/>
                          <w:ind w:left="129"/>
                          <w:rPr>
                            <w:sz w:val="22"/>
                          </w:rPr>
                        </w:pPr>
                        <w:r>
                          <w:rPr>
                            <w:sz w:val="22"/>
                          </w:rPr>
                          <w:t>-10</w:t>
                        </w:r>
                      </w:p>
                    </w:tc>
                  </w:tr>
                </w:tbl>
                <w:p w14:paraId="60CFA9E3" w14:textId="77777777" w:rsidR="00B267D6" w:rsidRDefault="00A17BE0">
                  <w:pPr>
                    <w:ind w:firstLine="567"/>
                    <w:jc w:val="both"/>
                  </w:pPr>
                </w:p>
              </w:sdtContent>
            </w:sdt>
            <w:sdt>
              <w:sdtPr>
                <w:alias w:val="2.2 p."/>
                <w:tag w:val="part_79a1b41485fc4db5ba76e642391e8cc4"/>
                <w:id w:val="1536312307"/>
                <w:lock w:val="sdtLocked"/>
              </w:sdtPr>
              <w:sdtEndPr/>
              <w:sdtContent>
                <w:p w14:paraId="60CFA9E4" w14:textId="77777777" w:rsidR="00B267D6" w:rsidRDefault="00A17BE0">
                  <w:pPr>
                    <w:widowControl w:val="0"/>
                    <w:shd w:val="clear" w:color="auto" w:fill="FFFFFF"/>
                    <w:ind w:firstLine="567"/>
                    <w:jc w:val="both"/>
                  </w:pPr>
                  <w:sdt>
                    <w:sdtPr>
                      <w:alias w:val="Numeris"/>
                      <w:tag w:val="nr_79a1b41485fc4db5ba76e642391e8cc4"/>
                      <w:id w:val="1570849734"/>
                      <w:lock w:val="sdtLocked"/>
                    </w:sdtPr>
                    <w:sdtEndPr/>
                    <w:sdtContent>
                      <w:r>
                        <w:t>2.2</w:t>
                      </w:r>
                    </w:sdtContent>
                  </w:sdt>
                  <w:r>
                    <w:t>. Išdėstau 2 priedo 23.3 punktą taip:</w:t>
                  </w:r>
                </w:p>
                <w:p w14:paraId="60CFA9E5" w14:textId="77777777" w:rsidR="00B267D6" w:rsidRDefault="00B267D6">
                  <w:pPr>
                    <w:ind w:firstLine="567"/>
                    <w:jc w:val="both"/>
                  </w:pPr>
                </w:p>
                <w:tbl>
                  <w:tblPr>
                    <w:tblW w:w="9072" w:type="dxa"/>
                    <w:tblInd w:w="40" w:type="dxa"/>
                    <w:tblLayout w:type="fixed"/>
                    <w:tblCellMar>
                      <w:left w:w="40" w:type="dxa"/>
                      <w:right w:w="40" w:type="dxa"/>
                    </w:tblCellMar>
                    <w:tblLook w:val="0000" w:firstRow="0" w:lastRow="0" w:firstColumn="0" w:lastColumn="0" w:noHBand="0" w:noVBand="0"/>
                  </w:tblPr>
                  <w:tblGrid>
                    <w:gridCol w:w="840"/>
                    <w:gridCol w:w="6759"/>
                    <w:gridCol w:w="1473"/>
                  </w:tblGrid>
                  <w:tr w:rsidR="00B267D6" w14:paraId="60CFA9EB" w14:textId="77777777">
                    <w:trPr>
                      <w:cantSplit/>
                      <w:trHeight w:val="1654"/>
                    </w:trPr>
                    <w:tc>
                      <w:tcPr>
                        <w:tcW w:w="840" w:type="dxa"/>
                        <w:tcBorders>
                          <w:top w:val="single" w:sz="6" w:space="0" w:color="auto"/>
                          <w:left w:val="nil"/>
                          <w:bottom w:val="single" w:sz="4" w:space="0" w:color="auto"/>
                          <w:right w:val="nil"/>
                        </w:tcBorders>
                        <w:shd w:val="clear" w:color="auto" w:fill="FFFFFF"/>
                      </w:tcPr>
                      <w:p w14:paraId="60CFA9E6" w14:textId="77777777" w:rsidR="00B267D6" w:rsidRDefault="00A17BE0">
                        <w:pPr>
                          <w:widowControl w:val="0"/>
                          <w:shd w:val="clear" w:color="auto" w:fill="FFFFFF"/>
                          <w:rPr>
                            <w:sz w:val="22"/>
                          </w:rPr>
                        </w:pPr>
                        <w:r>
                          <w:rPr>
                            <w:sz w:val="22"/>
                          </w:rPr>
                          <w:t>23.3</w:t>
                        </w:r>
                      </w:p>
                    </w:tc>
                    <w:tc>
                      <w:tcPr>
                        <w:tcW w:w="6759" w:type="dxa"/>
                        <w:tcBorders>
                          <w:top w:val="single" w:sz="6" w:space="0" w:color="auto"/>
                          <w:left w:val="single" w:sz="6" w:space="0" w:color="auto"/>
                          <w:bottom w:val="single" w:sz="4" w:space="0" w:color="auto"/>
                          <w:right w:val="single" w:sz="4" w:space="0" w:color="auto"/>
                        </w:tcBorders>
                        <w:shd w:val="clear" w:color="auto" w:fill="FFFFFF"/>
                      </w:tcPr>
                      <w:p w14:paraId="60CFA9E7" w14:textId="77777777" w:rsidR="00B267D6" w:rsidRDefault="00A17BE0">
                        <w:pPr>
                          <w:widowControl w:val="0"/>
                          <w:shd w:val="clear" w:color="auto" w:fill="FFFFFF"/>
                          <w:rPr>
                            <w:sz w:val="22"/>
                          </w:rPr>
                        </w:pPr>
                        <w:r>
                          <w:rPr>
                            <w:sz w:val="22"/>
                          </w:rPr>
                          <w:t xml:space="preserve">Asmens galimybės </w:t>
                        </w:r>
                        <w:r>
                          <w:rPr>
                            <w:sz w:val="22"/>
                          </w:rPr>
                          <w:t>pagrindinėse jo veiklos srityse dėl sveikatos būklės yra visiškai ribotos, be kitų pagalbos negali atlikti beveik nieko, specialiųjų poreikių apimtis yra didelė ir dėl to teisės aktų nustatyta tvarka yra nustatytas:</w:t>
                        </w:r>
                      </w:p>
                      <w:p w14:paraId="60CFA9E8" w14:textId="77777777" w:rsidR="00B267D6" w:rsidRDefault="00A17BE0">
                        <w:pPr>
                          <w:widowControl w:val="0"/>
                          <w:shd w:val="clear" w:color="auto" w:fill="FFFFFF"/>
                          <w:rPr>
                            <w:sz w:val="22"/>
                          </w:rPr>
                        </w:pPr>
                        <w:r>
                          <w:rPr>
                            <w:sz w:val="22"/>
                          </w:rPr>
                          <w:t>– specialusis nuolatinės slaugos poreiki</w:t>
                        </w:r>
                        <w:r>
                          <w:rPr>
                            <w:sz w:val="22"/>
                          </w:rPr>
                          <w:t>s,</w:t>
                        </w:r>
                      </w:p>
                      <w:p w14:paraId="60CFA9E9" w14:textId="77777777" w:rsidR="00B267D6" w:rsidRDefault="00A17BE0">
                        <w:pPr>
                          <w:widowControl w:val="0"/>
                          <w:shd w:val="clear" w:color="auto" w:fill="FFFFFF"/>
                          <w:rPr>
                            <w:sz w:val="22"/>
                          </w:rPr>
                        </w:pPr>
                        <w:r>
                          <w:rPr>
                            <w:sz w:val="22"/>
                          </w:rPr>
                          <w:t>– nuolatinės priežiūros (pa</w:t>
                        </w:r>
                        <w:bookmarkStart w:id="0" w:name="_GoBack"/>
                        <w:bookmarkEnd w:id="0"/>
                        <w:r>
                          <w:rPr>
                            <w:sz w:val="22"/>
                          </w:rPr>
                          <w:t>galbos) poreikis dėl protinio atsilikimo ar psichikos sutrikimų</w:t>
                        </w:r>
                      </w:p>
                    </w:tc>
                    <w:tc>
                      <w:tcPr>
                        <w:tcW w:w="1473" w:type="dxa"/>
                        <w:tcBorders>
                          <w:top w:val="single" w:sz="4" w:space="0" w:color="auto"/>
                          <w:left w:val="single" w:sz="4" w:space="0" w:color="auto"/>
                          <w:bottom w:val="single" w:sz="4" w:space="0" w:color="auto"/>
                        </w:tcBorders>
                        <w:shd w:val="clear" w:color="auto" w:fill="FFFFFF"/>
                      </w:tcPr>
                      <w:p w14:paraId="60CFA9EA" w14:textId="77777777" w:rsidR="00B267D6" w:rsidRDefault="00A17BE0">
                        <w:pPr>
                          <w:widowControl w:val="0"/>
                          <w:shd w:val="clear" w:color="auto" w:fill="FFFFFF"/>
                          <w:ind w:left="161"/>
                          <w:rPr>
                            <w:sz w:val="22"/>
                          </w:rPr>
                        </w:pPr>
                        <w:r>
                          <w:rPr>
                            <w:sz w:val="22"/>
                          </w:rPr>
                          <w:t>-10</w:t>
                        </w:r>
                      </w:p>
                    </w:tc>
                  </w:tr>
                </w:tbl>
                <w:p w14:paraId="60CFA9EC" w14:textId="77777777" w:rsidR="00B267D6" w:rsidRDefault="00A17BE0">
                  <w:pPr>
                    <w:jc w:val="both"/>
                  </w:pPr>
                </w:p>
              </w:sdtContent>
            </w:sdt>
          </w:sdtContent>
        </w:sdt>
        <w:sdt>
          <w:sdtPr>
            <w:alias w:val="signatura"/>
            <w:tag w:val="part_b0ca6ae35a5c4c0980ade36cc3455b26"/>
            <w:id w:val="1532686686"/>
            <w:lock w:val="sdtLocked"/>
            <w:placeholder>
              <w:docPart w:val="DefaultPlaceholder_1082065158"/>
            </w:placeholder>
          </w:sdtPr>
          <w:sdtContent>
            <w:p w14:paraId="2762D07A" w14:textId="774BB00B" w:rsidR="00A17BE0" w:rsidRDefault="00A17BE0">
              <w:pPr>
                <w:widowControl w:val="0"/>
                <w:shd w:val="clear" w:color="auto" w:fill="FFFFFF"/>
                <w:tabs>
                  <w:tab w:val="right" w:pos="9071"/>
                </w:tabs>
              </w:pPr>
            </w:p>
            <w:p w14:paraId="22493AF3" w14:textId="77777777" w:rsidR="00A17BE0" w:rsidRDefault="00A17BE0">
              <w:pPr>
                <w:widowControl w:val="0"/>
                <w:shd w:val="clear" w:color="auto" w:fill="FFFFFF"/>
                <w:tabs>
                  <w:tab w:val="right" w:pos="9071"/>
                </w:tabs>
              </w:pPr>
            </w:p>
            <w:p w14:paraId="60CFA9EF" w14:textId="2A0A057F" w:rsidR="00B267D6" w:rsidRDefault="00A17BE0" w:rsidP="00A17BE0">
              <w:pPr>
                <w:widowControl w:val="0"/>
                <w:shd w:val="clear" w:color="auto" w:fill="FFFFFF"/>
                <w:tabs>
                  <w:tab w:val="right" w:pos="9071"/>
                </w:tabs>
              </w:pPr>
              <w:r>
                <w:t>SOCIALINĖS APSAUGOS IR DARBO MINISTRĖ</w:t>
              </w:r>
              <w:r>
                <w:tab/>
                <w:t>VILIJA BLINKEVIČIŪTĖ</w:t>
              </w:r>
            </w:p>
          </w:sdtContent>
        </w:sdt>
      </w:sdtContent>
    </w:sdt>
    <w:sectPr w:rsidR="00B267D6">
      <w:pgSz w:w="11906" w:h="16838"/>
      <w:pgMar w:top="1701" w:right="567" w:bottom="1134"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evenAndOddHeader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377D"/>
    <w:rsid w:val="0033377D"/>
    <w:rsid w:val="00A17BE0"/>
    <w:rsid w:val="00B267D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0CFA9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17BE0"/>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17BE0"/>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e-tar.lt/portal/lt/legalAct/TAR.D892F4364169" TargetMode="External"/><Relationship Id="rId13" Type="http://schemas.openxmlformats.org/officeDocument/2006/relationships/glossaryDocument" Target="glossary/document.xml"/><Relationship Id="rId3" Type="http://schemas.microsoft.com/office/2007/relationships/stylesWithEffects" Target="stylesWithEffects.xml"/><Relationship Id="rId7" Type="http://schemas.openxmlformats.org/officeDocument/2006/relationships/control" Target="activeX/activeX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1.wmf"/><Relationship Id="rId11" Type="http://schemas.openxmlformats.org/officeDocument/2006/relationships/hyperlink" Target="https://www.e-tar.lt/portal/lt/legalAct/TAR.DBAFC7EBD9B7" TargetMode="External"/><Relationship Id="rId5" Type="http://schemas.openxmlformats.org/officeDocument/2006/relationships/webSettings" Target="webSettings.xml"/><Relationship Id="rId10" Type="http://schemas.openxmlformats.org/officeDocument/2006/relationships/hyperlink" Target="https://www.e-tar.lt/portal/lt/legalAct/TAR.D456A3998B14" TargetMode="External"/><Relationship Id="rId4" Type="http://schemas.openxmlformats.org/officeDocument/2006/relationships/settings" Target="settings.xml"/><Relationship Id="rId9" Type="http://schemas.openxmlformats.org/officeDocument/2006/relationships/hyperlink" Target="https://www.e-tar.lt/portal/lt/legalAct/TAR.4402130AC046" TargetMode="External"/><Relationship Id="rId14" Type="http://schemas.openxmlformats.org/officeDocument/2006/relationships/theme" Target="theme/theme1.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08B0"/>
    <w:rsid w:val="00C008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008B0"/>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008B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8aefbc9765884469b15cafde3acedd21" PartId="024ce1258bb44dbca4b505625efca47a">
    <Part Type="pastraipa" Nr="" Abbr="" Title="" Notes="" DocPartId="5d95df617f7d4b0aa37c515c3b89e708" PartId="8cd41efcb8fd4f3180f6c7b93510af31"/>
    <Part Type="punktas" Nr="1" Abbr="1 p." DocPartId="091e181b39754066b248a5bafdede49b" PartId="1f4b1caf7e894a49b3a4f5892d3655b5">
      <Part Type="citata" DocPartId="986476ad8eb84770abf50777d69e975b" PartId="33e950d9010f4d8b9606b73830312236">
        <Part Type="punktas" Nr="66" Abbr="66 p." DocPartId="b0cb41d1ac164f08a522898831354808" PartId="1ce18d5f87204aefb2306a9a93bc1e69"/>
      </Part>
    </Part>
    <Part Type="punktas" Nr="2" Abbr="2 p." DocPartId="9186cefdfe8441a8bddfd5fb58800485" PartId="1bd476e6c4324e99b5515e8139458143">
      <Part Type="punktas" Nr="2.1" Abbr="2.1 p." DocPartId="e7048bbb4be6412094199cd5cbe0b4b7" PartId="d7f2545b8cce46aa81e36b0eb2738179"/>
      <Part Type="punktas" Nr="2.2" Abbr="2.2 p." DocPartId="0562662d9afe48138b75e248d08ab410" PartId="79a1b41485fc4db5ba76e642391e8cc4"/>
    </Part>
    <Part Type="signatura" DocPartId="b8ea8f0435304d4a9d806ae0d4448b15" PartId="b0ca6ae35a5c4c0980ade36cc3455b26"/>
  </Part>
</Parts>
</file>

<file path=customXml/itemProps1.xml><?xml version="1.0" encoding="utf-8"?>
<ds:datastoreItem xmlns:ds="http://schemas.openxmlformats.org/officeDocument/2006/customXml" ds:itemID="{C779A842-97E7-490B-94ED-BBA2254E48A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1873</Words>
  <Characters>1068</Characters>
  <Application>Microsoft Office Word</Application>
  <DocSecurity>0</DocSecurity>
  <Lines>8</Lines>
  <Paragraphs>5</Paragraphs>
  <ScaleCrop>false</ScaleCrop>
  <Company/>
  <LinksUpToDate>false</LinksUpToDate>
  <CharactersWithSpaces>2936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SOCIALINĖS APSAUGOS IR DARBO MINISTRO</dc:title>
  <dc:creator>Rima</dc:creator>
  <cp:lastModifiedBy>PAVKŠTELO Julita</cp:lastModifiedBy>
  <cp:revision>3</cp:revision>
  <dcterms:created xsi:type="dcterms:W3CDTF">2015-09-24T21:08:00Z</dcterms:created>
  <dcterms:modified xsi:type="dcterms:W3CDTF">2015-10-22T06:02:00Z</dcterms:modified>
</cp:coreProperties>
</file>