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f7fac5c9dcb4a08b40ce8174476aa81"/>
        <w:lock w:val="sdtLocked"/>
        <w:richText/>
      </w:sdtPr>
      <w:sdtContent>
        <w:p>
          <w:pPr>
            <w:jc w:val="both"/>
            <w:rPr>
              <w:rFonts w:ascii="Times New Roman" w:hAnsi="Times New Roman"/>
            </w:rPr>
          </w:pPr>
          <w:r>
            <w:rPr>
              <w:rFonts w:ascii="Times New Roman" w:hAnsi="Times New Roman"/>
              <w:b/>
              <w:i/>
            </w:rPr>
            <w:t>Suvestinė redakcija nuo 2012-07-27 iki 2012-11-10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79835E2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4f7fac5c9dcb4a08b40ce8174476aa81"/>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6"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7"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8"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0"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1"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811dc3b60cf645a5ba15f1a90484d312"/>
                <w:lock w:val="sdtLocked"/>
                <w:richText/>
              </w:sdtPr>
              <w:sdtContent>
                <w:p>
                  <w:pPr>
                    <w:widowControl w:val="0"/>
                    <w:ind w:firstLine="709"/>
                    <w:jc w:val="both"/>
                  </w:pPr>
                  <w:sdt>
                    <w:sdtPr>
                      <w:alias w:val="Numeris"/>
                      <w:tag w:val="nr_811dc3b60cf645a5ba15f1a90484d312"/>
                      <w:lock w:val="sdtLocked"/>
                      <w:richText/>
                    </w:sdtPr>
                    <w:sdtContent>
                      <w:r>
                        <w:t>19</w:t>
                      </w:r>
                    </w:sdtContent>
                  </w:sdt>
                  <w: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2" w:tgtFrame="_blank" w:history="1">
                    <w:r>
                      <w:rPr>
                        <w:color w:val="0000FF" w:themeColor="hyperlink"/>
                        <w:u w:val="single"/>
                      </w:rPr>
                      <w:t>37-1323</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934515421b1f4750978617c58f22359c"/>
                    <w:lock w:val="sdtLocked"/>
                    <w:richText/>
                  </w:sdtPr>
                  <w:sdtContent>
                    <w:p>
                      <w:pPr>
                        <w:ind w:firstLine="709"/>
                        <w:jc w:val="both"/>
                      </w:pPr>
                      <w:r>
                        <w:t xml:space="preserve">22.1. užpildytą Prašymą-paraišką socialinėms paslaugoms gauti SP-8 formą, patvirtintą socialinės apsaugos ir darbo ministro 2005 m. birželio 27 d. įsakymu Nr. A1-183 (Žin., 2005, Nr. </w:t>
                      </w:r>
                      <w:hyperlink r:id="rId27" w:tgtFrame="_blank" w:history="1">
                        <w:r>
                          <w:rPr>
                            <w:color w:val="0000FF" w:themeColor="hyperlink"/>
                            <w:u w:val="single"/>
                          </w:rPr>
                          <w:t>81-2986</w:t>
                        </w:r>
                      </w:hyperlink>
                      <w:r>
                        <w:t xml:space="preserve">; 2006, Nr. </w:t>
                      </w:r>
                      <w:hyperlink r:id="rId28" w:tgtFrame="_blank" w:history="1">
                        <w:r>
                          <w:rPr>
                            <w:color w:val="0000FF" w:themeColor="hyperlink"/>
                            <w:u w:val="single"/>
                          </w:rPr>
                          <w:t>79-3126</w:t>
                        </w:r>
                      </w:hyperlink>
                      <w:r>
                        <w:t xml:space="preserve">) (toliau vadinama – prašymas). Asmuo dėl atitinkamos socialinės paslaugos skyrimo gali kreiptis elektroniniu būdu, jeigu valstybės elektroninės valdžios sistemoje teikiama tokios rūšies elektroninė paslauga. 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29" w:tgtFrame="_blank" w:history="1">
                        <w:r>
                          <w:rPr>
                            <w:color w:val="0000FF" w:themeColor="hyperlink"/>
                            <w:u w:val="single"/>
                          </w:rPr>
                          <w:t>7-268</w:t>
                        </w:r>
                      </w:hyperlink>
                      <w:r>
                        <w:t>), pranešimas apie prašymo gavimą ir vykdymo būklę tą pačią dieną perduodamas į elektroninių paslaugų sistemos paslaugos teikimo eigos stebėsenos modulį;</w:t>
                      </w:r>
                    </w:p>
                  </w:sdtContent>
                </w:sdt>
                <w:sdt>
                  <w:sdtPr>
                    <w:alias w:val="22.2 p."/>
                    <w:tag w:val="part_ad181ecd5adb4c9090faeb81358fc40f"/>
                    <w:lock w:val="sdtLocked"/>
                    <w:richText/>
                  </w:sdtPr>
                  <w:sdtContent>
                    <w:p>
                      <w:pPr>
                        <w:ind w:firstLine="709"/>
                        <w:jc w:val="both"/>
                      </w:pPr>
                      <w:sdt>
                        <w:sdtPr>
                          <w:alias w:val="Numeris"/>
                          <w:tag w:val="nr_ad181ecd5adb4c9090faeb81358fc40f"/>
                          <w:lock w:val="sdtLocked"/>
                          <w:richText/>
                        </w:sdtPr>
                        <w:sdtContent>
                          <w:r>
                            <w:t>22.2</w:t>
                          </w:r>
                        </w:sdtContent>
                      </w:sdt>
                      <w:r>
                        <w:t>. asmens tapatybę patvirtinantį dokumentą, išskyrus atvejus, kai dėl atitinkamos socialinės paslaugos skyrimo kreipiamasi elektroniniu būdu. Asmuo, pateikdamas prašymą elektroniniu būdu, patvirtina savo tapatybę elektroniniu parašu arba kitais būdais, nustatytais Lietuvos Respublikos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3"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4"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5"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f2a780b89ec648fda07508f9f43c2875"/>
                <w:lock w:val="sdtLocked"/>
                <w:richText/>
              </w:sdtPr>
              <w:sdtContent>
                <w:p>
                  <w:pPr>
                    <w:widowControl w:val="0"/>
                    <w:suppressAutoHyphens/>
                    <w:ind w:firstLine="709"/>
                    <w:jc w:val="both"/>
                  </w:pPr>
                  <w:sdt>
                    <w:sdtPr>
                      <w:alias w:val="Numeris"/>
                      <w:tag w:val="nr_f2a780b89ec648fda07508f9f43c2875"/>
                      <w:lock w:val="sdtLocked"/>
                      <w:richText/>
                    </w:sdtPr>
                    <w:sdtContent>
                      <w:r>
                        <w:rPr>
                          <w:color w:val="000000"/>
                        </w:rPr>
                        <w:t>48</w:t>
                      </w:r>
                    </w:sdtContent>
                  </w:sdt>
                  <w:r>
                    <w:rPr>
                      <w:color w:val="000000"/>
                    </w:rPr>
                    <w:t>. Sprendimas dėl ilgalaikės socialinės globos asmeniui skyrimo, sustabdymo ir nutraukimo priimamas ne vėliau kaip per 30 kalendorinių dienų nuo socialinių darbuotojų asmens socialinės globos poreikio vertinimo išvadų pateikimo savivaldybei dienos. Sprendimas dėl trumpalaikės socialinės globos asmeniui skyrimo priimamas ne vėliau kaip per 10 kalendorinių dienų nuo socialinių darbuotojų asmens socialinės globos poreikio vertinimo išvadų pateikimo savivaldybei dienos ir gavus rašytinę informaciją, kad Globos namuose yra vieta trumpalaikei socialinei globai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6"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f70555a596124a7d8d33c8bbed530855"/>
                <w:lock w:val="sdtLocked"/>
                <w:richText/>
              </w:sdtPr>
              <w:sdtContent>
                <w:p>
                  <w:pPr>
                    <w:widowControl w:val="0"/>
                    <w:suppressAutoHyphens/>
                    <w:ind w:firstLine="709"/>
                    <w:jc w:val="both"/>
                    <w:rPr>
                      <w:color w:val="000000"/>
                    </w:rPr>
                  </w:pPr>
                  <w:sdt>
                    <w:sdtPr>
                      <w:alias w:val="Numeris"/>
                      <w:tag w:val="nr_f70555a596124a7d8d33c8bbed530855"/>
                      <w:lock w:val="sdtLocked"/>
                      <w:richText/>
                    </w:sdtPr>
                    <w:sdtContent>
                      <w:r>
                        <w:rPr>
                          <w:color w:val="000000"/>
                        </w:rPr>
                        <w:t>53</w:t>
                      </w:r>
                    </w:sdtContent>
                  </w:sdt>
                  <w:r>
                    <w:rPr>
                      <w:color w:val="000000"/>
                    </w:rPr>
                    <w:t>. Priėmus sprendimą skirti asmeniui ilgalaikę, o vaikui, kuriam nustatyta laikinoji globa, ar socialinės rizikos vaikui – trumpalaikę socialinę globą Globos namuose, kurių savininko teises ir pareigas įgyvendinančia institucija ar dalininku (savininku) yra Socialinės apsaugos ir darbo ministerija (toliau vadinama – valstybės Globos namai), savivaldybė ne vėliau kaip per 3 darbo dienas išsiunčia šio sprendimo kopiją ir dokumentus, nurodytus 2 priedo 3 ir 6 punktuose Socialinės globos įstaigų administravimo tarnybai prie Socialinės apsaugos ir darbo ministerijos (toliau vadinama – Tarnyba).</w:t>
                  </w:r>
                </w:p>
                <w:p>
                  <w:pPr>
                    <w:widowControl w:val="0"/>
                    <w:suppressAutoHyphens/>
                    <w:ind w:firstLine="709"/>
                    <w:jc w:val="both"/>
                  </w:pPr>
                  <w:r>
                    <w:rPr>
                      <w:color w:val="000000"/>
                    </w:rPr>
                    <w:t>Savivaldybė, priėmusi sprendimą dėl trumpalaikės socialinės globos, ne vėliau kaip per 3 darbo dienas išsiunčia šio sprendimo kopiją ir dokumentus, nurodytus 2 priedo 1, 2, 4, 6–8 punktuose Globos namams, kurie teiks asmeniui trumpalaikę socialinę globą.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0791ac57a7ba4d66bb93099d535927d1"/>
                <w:lock w:val="sdtLocked"/>
                <w:richText/>
              </w:sdtPr>
              <w:sdtContent>
                <w:p>
                  <w:pPr>
                    <w:widowControl w:val="0"/>
                    <w:ind w:firstLine="709"/>
                    <w:jc w:val="both"/>
                  </w:pPr>
                  <w:sdt>
                    <w:sdtPr>
                      <w:alias w:val="Numeris"/>
                      <w:tag w:val="nr_0791ac57a7ba4d66bb93099d535927d1"/>
                      <w:lock w:val="sdtLocked"/>
                      <w:richText/>
                    </w:sdtPr>
                    <w:sdtContent>
                      <w:r>
                        <w:t>55</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56 p."/>
                <w:tag w:val="part_e8b089f7b11943f09b52196dc59898e5"/>
                <w:lock w:val="sdtLocked"/>
                <w:richText/>
              </w:sdtPr>
              <w:sdtContent>
                <w:p>
                  <w:pPr>
                    <w:ind w:firstLine="709"/>
                    <w:jc w:val="both"/>
                  </w:pPr>
                  <w:sdt>
                    <w:sdtPr>
                      <w:alias w:val="Numeris"/>
                      <w:tag w:val="nr_e8b089f7b11943f09b52196dc59898e5"/>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valstybės Globos namus. Šie asmenys valstybės Globos namuose apgyvendinami Tarnybos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57 p."/>
                <w:tag w:val="part_01b67f0cc20c48878f72c42461171fff"/>
                <w:lock w:val="sdtLocked"/>
                <w:richText/>
              </w:sdtPr>
              <w:sdtContent>
                <w:p>
                  <w:pPr>
                    <w:widowControl w:val="0"/>
                    <w:suppressAutoHyphens/>
                    <w:ind w:firstLine="709"/>
                    <w:jc w:val="both"/>
                  </w:pPr>
                  <w:sdt>
                    <w:sdtPr>
                      <w:alias w:val="Numeris"/>
                      <w:tag w:val="nr_01b67f0cc20c48878f72c42461171fff"/>
                      <w:lock w:val="sdtLocked"/>
                      <w:richText/>
                    </w:sdtPr>
                    <w:sdtContent>
                      <w:r>
                        <w:rPr>
                          <w:color w:val="000000"/>
                        </w:rPr>
                        <w:t>57</w:t>
                      </w:r>
                    </w:sdtContent>
                  </w:sdt>
                  <w:r>
                    <w:rPr>
                      <w:color w:val="000000"/>
                    </w:rPr>
                    <w:t>. Prieš apgyvendinant asmenį Globos namuose ilgalaikei socialinei globai, yra išrašomas asmens siuntimas į Globos namus (toliau vadinama – siuntimas). Siuntimą išrašo savivaldybė, priėmusi sprendimą dėl socialinės globos skyrimo, o kai priimtas sprendimas dėl ilgalaikės socialinės globos valstybės Globos namuose, –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58 p."/>
                <w:tag w:val="part_52743213cba5417199322a070532da6d"/>
                <w:lock w:val="sdtLocked"/>
                <w:richText/>
              </w:sdtPr>
              <w:sdtContent>
                <w:p>
                  <w:pPr>
                    <w:widowControl w:val="0"/>
                    <w:ind w:firstLine="709"/>
                    <w:jc w:val="both"/>
                  </w:pPr>
                  <w:sdt>
                    <w:sdtPr>
                      <w:alias w:val="Numeris"/>
                      <w:tag w:val="nr_52743213cba5417199322a070532da6d"/>
                      <w:lock w:val="sdtLocked"/>
                      <w:richText/>
                    </w:sdtPr>
                    <w:sdtContent>
                      <w:r>
                        <w:t>58</w:t>
                      </w:r>
                    </w:sdtContent>
                  </w:sdt>
                  <w:r>
                    <w:t>. Siuntimas per 3 darbo dienas nuo jo išrašymo dienos pateikiamas (išsiunčiamas) asmeniui (globėjui, rūpintojui). Siuntimo kopija pateikiama Globos namams, į kuriuos asmuo siunčiamas. Tarnybos siuntimo kopija pateikiama savivaldybei, priėmusiai sprendimą dėl socialinės globos asmeniui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59 p."/>
                <w:tag w:val="part_00685671ced04bc1bb2b6d8d21b5609b"/>
                <w:lock w:val="sdtLocked"/>
                <w:richText/>
              </w:sdtPr>
              <w:sdtContent>
                <w:p>
                  <w:pPr>
                    <w:widowControl w:val="0"/>
                    <w:ind w:firstLine="709"/>
                    <w:jc w:val="both"/>
                  </w:pPr>
                  <w:sdt>
                    <w:sdtPr>
                      <w:alias w:val="Numeris"/>
                      <w:tag w:val="nr_00685671ced04bc1bb2b6d8d21b5609b"/>
                      <w:lock w:val="sdtLocked"/>
                      <w:richText/>
                    </w:sdtPr>
                    <w:sdtContent>
                      <w:r>
                        <w:t>59</w:t>
                      </w:r>
                    </w:sdtContent>
                  </w:sdt>
                  <w:r>
                    <w:t>. Išrašytas siuntimas galioja 30 kalendorinių dienų nuo jo išsiuntimo asmeniui (globėjui, rūpintojui) dienos. Institucija, išrašiusi siuntimą, gali galiojimo terminą pratęsti, jeigu asmuo (globėjas, rūpintojas) raštu pateikia neginčijamas objektyvias priežastis, dėl kurių jis per nurodytą laiką negali apsigyventi Globos namuose.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085929d01233419bb80af60848fbc7af"/>
                <w:lock w:val="sdtLocked"/>
                <w:richText/>
              </w:sdtPr>
              <w:sdtContent>
                <w:p>
                  <w:pPr>
                    <w:widowControl w:val="0"/>
                    <w:ind w:firstLine="709"/>
                    <w:jc w:val="both"/>
                  </w:pPr>
                  <w:sdt>
                    <w:sdtPr>
                      <w:alias w:val="Numeris"/>
                      <w:tag w:val="nr_085929d01233419bb80af60848fbc7af"/>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Tarnyba, – ne vėliau kaip per 3 darbo dienas nuo sprendimo dėl socialinės globos skyrimo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3 p."/>
                <w:tag w:val="part_3c3a2f974c744334a200e8e936b66f03"/>
                <w:lock w:val="sdtLocked"/>
                <w:richText/>
              </w:sdtPr>
              <w:sdtContent>
                <w:p>
                  <w:pPr>
                    <w:widowControl w:val="0"/>
                    <w:ind w:firstLine="709"/>
                    <w:jc w:val="both"/>
                  </w:pPr>
                  <w:sdt>
                    <w:sdtPr>
                      <w:alias w:val="Numeris"/>
                      <w:tag w:val="nr_3c3a2f974c744334a200e8e936b66f03"/>
                      <w:lock w:val="sdtLocked"/>
                      <w:richText/>
                    </w:sdtPr>
                    <w:sdtContent>
                      <w:r>
                        <w:t>63</w:t>
                      </w:r>
                    </w:sdtContent>
                  </w:sdt>
                  <w:r>
                    <w:t>. Jei Globos namuose nėra laisvų vietų, asmuo yra įrašomas į savivaldybės eilę ilgalaikei socialinei globai gauti, o tais atvejais, kai asmeniui skirta ilgalaikė socialinė globa valstybės Globos namuose, – į asmenų eilę ilgalaikei socialinei globai gauti valstybės Globos namuose, kurią sudaro ir tvarko Tarnyba.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4 p."/>
                <w:tag w:val="part_c3c673c6c9814d43a9a552e9ba88e655"/>
                <w:lock w:val="sdtLocked"/>
                <w:richText/>
              </w:sdtPr>
              <w:sdtContent>
                <w:p>
                  <w:pPr>
                    <w:widowControl w:val="0"/>
                    <w:ind w:firstLine="709"/>
                    <w:jc w:val="both"/>
                  </w:pPr>
                  <w:sdt>
                    <w:sdtPr>
                      <w:alias w:val="Numeris"/>
                      <w:tag w:val="nr_c3c673c6c9814d43a9a552e9ba88e655"/>
                      <w:lock w:val="sdtLocked"/>
                      <w:richText/>
                    </w:sdtPr>
                    <w:sdtContent>
                      <w:r>
                        <w:t>64</w:t>
                      </w:r>
                    </w:sdtContent>
                  </w:sdt>
                  <w:r>
                    <w:t>. Savivaldybės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5 p."/>
                <w:tag w:val="part_39bccfd9d0c94598bc4c03ea0ea953af"/>
                <w:lock w:val="sdtLocked"/>
                <w:richText/>
              </w:sdtPr>
              <w:sdtContent>
                <w:p>
                  <w:pPr>
                    <w:widowControl w:val="0"/>
                    <w:suppressAutoHyphens/>
                    <w:ind w:firstLine="709"/>
                    <w:jc w:val="both"/>
                  </w:pPr>
                  <w:sdt>
                    <w:sdtPr>
                      <w:alias w:val="Numeris"/>
                      <w:tag w:val="nr_39bccfd9d0c94598bc4c03ea0ea953af"/>
                      <w:lock w:val="sdtLocked"/>
                      <w:richText/>
                    </w:sdtPr>
                    <w:sdtContent>
                      <w:r>
                        <w:rPr>
                          <w:color w:val="000000"/>
                        </w:rPr>
                        <w:t>65</w:t>
                      </w:r>
                    </w:sdtContent>
                  </w:sdt>
                  <w:r>
                    <w:rPr>
                      <w:color w:val="000000"/>
                    </w:rPr>
                    <w:t>. Savivaldybės institucijos nustatytais atvejais savivaldybė gali apgyvendinti asmenį Globos namuose be eilės – skubos tvarka, išskyrus atvejus, kai asmuo apgyvendinamas valstybės Globos namuose. Valstybės Globos namuose be eilės asmuo gali būti apgyvendinamas trumpalaikei socialinei globai.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66 p."/>
                <w:tag w:val="part_1600cf98518846afb336ccf5ef750111"/>
                <w:lock w:val="sdtLocked"/>
                <w:richText/>
              </w:sdtPr>
              <w:sdtContent>
                <w:p>
                  <w:pPr>
                    <w:widowControl w:val="0"/>
                    <w:suppressAutoHyphens/>
                    <w:ind w:firstLine="709"/>
                    <w:jc w:val="both"/>
                  </w:pPr>
                  <w:sdt>
                    <w:sdtPr>
                      <w:alias w:val="Numeris"/>
                      <w:tag w:val="nr_1600cf98518846afb336ccf5ef750111"/>
                      <w:lock w:val="sdtLocked"/>
                      <w:richText/>
                    </w:sdtPr>
                    <w:sdtContent>
                      <w:r>
                        <w:t>66</w:t>
                      </w:r>
                    </w:sdtContent>
                  </w:sdt>
                  <w:r>
                    <w:t xml:space="preserve">. Asmenų eilė ilgalaikei socialinei globai gauti valstybės Globos namuose sudaroma pagal savivaldybių sprendimų dėl ilgalaikės socialinės globos skyrimo valstybės Globos namuose gavimo Tarnyboje datą. </w:t>
                  </w:r>
                </w:p>
                <w:p>
                  <w:pPr>
                    <w:widowControl w:val="0"/>
                    <w:suppressAutoHyphens/>
                    <w:ind w:firstLine="709"/>
                    <w:jc w:val="both"/>
                  </w:pPr>
                  <w:r>
                    <w:t xml:space="preserve">Tais atvejais, kai ta pačia data gaunami kelių savivaldybių sprendimai dėl socialinės globos skyrimo valstybės Globos namuose, sudarant eilę atsižvelgiama į šių sprendimų priėmimo datą, o kai ta pačia data gaunami keli vienos savivaldybės sprendimai, priimti ta pačia data, – į jų registracijos eilės numerį. </w:t>
                  </w:r>
                </w:p>
                <w:p>
                  <w:pPr>
                    <w:widowControl w:val="0"/>
                    <w:suppressAutoHyphens/>
                    <w:ind w:firstLine="709"/>
                    <w:jc w:val="both"/>
                  </w:pPr>
                  <w:r>
                    <w:t>Atsiradus aplinkybėms, dėl kurių asmuo, įrašytas į asmenų eilę ilgalaikei socialinei globai gauti valstybės Globos namuose, nebus apgyvendinamas šiuose Globos namuose, sprendimą dėl socialinės globos asmeniui skyrimo priėmusi savivaldybė per 3 darbo dienas nuo šių aplinkybių atsiradimo privalo informuoti Tarnybą.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b768b2da49d9433a849e5e8e437d3ffc"/>
                <w:lock w:val="sdtLocked"/>
                <w:richText/>
              </w:sdtPr>
              <w:sdtContent>
                <w:p>
                  <w:pPr>
                    <w:widowControl w:val="0"/>
                    <w:ind w:firstLine="709"/>
                    <w:jc w:val="both"/>
                  </w:pPr>
                  <w:sdt>
                    <w:sdtPr>
                      <w:alias w:val="Numeris"/>
                      <w:tag w:val="nr_b768b2da49d9433a849e5e8e437d3ffc"/>
                      <w:lock w:val="sdtLocked"/>
                      <w:richText/>
                    </w:sdtPr>
                    <w:sdtContent>
                      <w:r>
                        <w:t>68</w:t>
                      </w:r>
                    </w:sdtContent>
                  </w:sdt>
                  <w:r>
                    <w:t>. Tarnyba turi teisę neišduoti siuntimo į valstybės Globos namus tais atvejais, kai savivaldybės sprendimas dėl socialinės globos skyrimo valstybės Globos namuose prieštarauja socialinių paslaugų skyrimą ir teikimą reglamentuojantiems teisės aktams. Tarnyba apie tai turi informuoti savivaldybę.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68-1 p."/>
                <w:tag w:val="part_9fcecab3a8bb4319a0a42d9aa7e6d961"/>
                <w:lock w:val="sdtLocked"/>
                <w:richText/>
              </w:sdtPr>
              <w:sdtContent>
                <w:p>
                  <w:pPr>
                    <w:ind w:firstLine="709"/>
                    <w:jc w:val="both"/>
                  </w:pPr>
                  <w:sdt>
                    <w:sdtPr>
                      <w:alias w:val="Numeris"/>
                      <w:tag w:val="nr_9fcecab3a8bb4319a0a42d9aa7e6d961"/>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valstybės Globos namuose laikinai apgyvendinami skubos tvarka. Internuotini asmenys, kuriems nereikalinga neatidėliotina medicinos pagalba, į valstybės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Valstybės Globos namų, kurie bet kuriuo paros metu gali priimti ir laikinai apgyvendinti internuotinus asmenis, sąrašą Policijos departamentui prie Vidaus reikalų ministerijos ir Valstybės sienos apsaugos tarnybai prie Vidaus reikalų ministerijos pateikia Tarnyba.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9fb1b90983a24b5c83c81f4abc381b92"/>
                <w:lock w:val="sdtLocked"/>
                <w:richText/>
              </w:sdtPr>
              <w:sdtContent>
                <w:p>
                  <w:pPr>
                    <w:widowControl w:val="0"/>
                    <w:ind w:firstLine="709"/>
                    <w:jc w:val="both"/>
                  </w:pPr>
                  <w:sdt>
                    <w:sdtPr>
                      <w:alias w:val="Numeris"/>
                      <w:tag w:val="nr_9fb1b90983a24b5c83c81f4abc381b92"/>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 prie Socialinės apsaugos ir darbo ministerijos (toliau vadinama – Socialinių paslaugų priežiūros departamentas).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29ff8ff003ca4eeb8656e11678c8938d"/>
                <w:lock w:val="sdtLocked"/>
                <w:richText/>
              </w:sdtPr>
              <w:sdtContent>
                <w:p>
                  <w:pPr>
                    <w:widowControl w:val="0"/>
                    <w:ind w:firstLine="709"/>
                    <w:jc w:val="both"/>
                  </w:pPr>
                  <w:sdt>
                    <w:sdtPr>
                      <w:alias w:val="Numeris"/>
                      <w:tag w:val="nr_29ff8ff003ca4eeb8656e11678c8938d"/>
                      <w:lock w:val="sdtLocked"/>
                      <w:richText/>
                    </w:sdtPr>
                    <w:sdtContent>
                      <w:r>
                        <w:t>79</w:t>
                      </w:r>
                    </w:sdtContent>
                  </w:sdt>
                  <w:r>
                    <w:t>. Ginčai dėl savivaldybės institucijos, Tarnybos ar Socialinių paslaugų priežiūros departamento priimtų sprendimų (neveikimo) nagrinėjami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4D268ECF43">
                    <w:r w:rsidRPr="00532B9F">
                      <w:rPr>
                        <w:rFonts w:ascii="Times New Roman" w:eastAsia="MS Mincho" w:hAnsi="Times New Roman"/>
                        <w:sz w:val="20"/>
                        <w:i/>
                        <w:iCs/>
                        <w:color w:val="0000FF" w:themeColor="hyperlink"/>
                        <w:u w:val="single"/>
                      </w:rPr>
                      <w:t>A1-311</w:t>
                    </w:r>
                  </w:fldSimple>
                  <w:r>
                    <w:rPr>
                      <w:rFonts w:ascii="Times New Roman" w:eastAsia="MS Mincho" w:hAnsi="Times New Roman"/>
                      <w:sz w:val="20"/>
                      <w:i/>
                      <w:iCs/>
                    </w:rPr>
                    <w:t>,
2010-06-30,
Žin., 2010, Nr.
79-4099 (2010-07-03), i. k. 1102230ISAK00A1-311            </w:t>
                  </w:r>
                </w:p>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1e3c8cd8be1c49b2b552dfadb4fe780b"/>
        <w:lock w:val="sdtLocked"/>
        <w:richText/>
      </w:sdtPr>
      <w:sdtContent>
        <w:p>
          <w:pPr>
            <w:keepLines/>
            <w:widowControl w:val="0"/>
            <w:suppressAutoHyphens/>
            <w:ind w:left="4535"/>
            <w:rPr>
              <w:color w:val="000000"/>
            </w:rPr>
          </w:pPr>
          <w:r>
            <w:rPr>
              <w:color w:val="000000"/>
            </w:rPr>
            <w:br w:type="page"/>
            <w:t xml:space="preserve">Asmens (šeimos) socialinių paslaugų </w:t>
          </w:r>
        </w:p>
        <w:p>
          <w:pPr>
            <w:keepLines/>
            <w:widowControl w:val="0"/>
            <w:suppressAutoHyphens/>
            <w:ind w:left="4535"/>
            <w:rPr>
              <w:color w:val="000000"/>
            </w:rPr>
          </w:pPr>
          <w:r>
            <w:rPr>
              <w:color w:val="000000"/>
            </w:rPr>
            <w:t>poreikio nustatymo ir skyrimo tvarkos aprašo</w:t>
          </w:r>
        </w:p>
        <w:p>
          <w:pPr>
            <w:keepLines/>
            <w:widowControl w:val="0"/>
            <w:suppressAutoHyphens/>
            <w:ind w:left="4535"/>
            <w:rPr>
              <w:color w:val="000000"/>
            </w:rPr>
          </w:pPr>
          <w:sdt>
            <w:sdtPr>
              <w:alias w:val="Numeris"/>
              <w:tag w:val="nr_1e3c8cd8be1c49b2b552dfadb4fe780b"/>
              <w:lock w:val="sdtLocked"/>
              <w:richText/>
            </w:sdtPr>
            <w:sdtContent>
              <w:r>
                <w:rPr>
                  <w:color w:val="000000"/>
                </w:rPr>
                <w:t>2</w:t>
              </w:r>
            </w:sdtContent>
          </w:sdt>
          <w:r>
            <w:rPr>
              <w:color w:val="000000"/>
            </w:rPr>
            <w:t xml:space="preserve"> priedas</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socialinės apsaugos ir darbo ministro </w:t>
          </w:r>
        </w:p>
        <w:p>
          <w:pPr>
            <w:keepLines/>
            <w:widowControl w:val="0"/>
            <w:suppressAutoHyphens/>
            <w:ind w:left="4535"/>
            <w:rPr>
              <w:color w:val="000000"/>
            </w:rPr>
          </w:pPr>
          <w:r>
            <w:rPr>
              <w:color w:val="000000"/>
            </w:rPr>
            <w:t>2012 m. liepos 20 d. įsakymo Nr. A1-355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e3c8cd8be1c49b2b552dfadb4fe780b"/>
              <w:lock w:val="sdtLocked"/>
              <w:richText/>
            </w:sdtPr>
            <w:sdtContent>
              <w:r>
                <w:rPr>
                  <w:b/>
                  <w:bCs/>
                  <w:caps/>
                  <w:color w:val="000000"/>
                </w:rPr>
                <w:t>ASMENS BYLOS DOKUMENTAI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1017"/>
            <w:gridCol w:w="2520"/>
            <w:gridCol w:w="1320"/>
            <w:gridCol w:w="1590"/>
            <w:gridCol w:w="1133"/>
            <w:gridCol w:w="1490"/>
          </w:tblGrid>
          <w:tr>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suaugusiems žmonėms su negalia</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Globos namai vaikams su negalia, Globos namai vaikams ir jaunimui su negalia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tapatybę patvirtinantis dokumentas (pasas, asmens tapatybės kortelė, gimimo liudijimas, leidimas laikinai gyventi Lietuvoje (ne ES valstybės narių piliečiams), naujo pavyzdžio vairuotojo pažymėjimas ar kt.)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Pažyma apie deklaruotą gyvenamąją vietą arba patvirtinanti,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Neįgaliojo (invalido) pažymėjimas (neįgalumo lygio pažyma, darbingumo lygio pažyma, pažyma dėl specialiųjų poreikių lygio nustatymo) ar (ir) specialiojo nuolatinės slaugos ar nuolatinės priežiūros (pagalbos) poreikio nustatymo pažymos (SP-1, SP-2 formos)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yra nustatytas neįgalumo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administracijos direktoriaus įsakymas ar teismo nutartis ir kiti dokumentai, pateikti dėl vaiko laikinosios ar nuolatinės globos nustatymo, dėl suaugusio asmens pripažinimo neveiksniu, globėjo (rūpintojo) paskyrimo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(neveiksniu pripažintam asmeniui)</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socialinės rizikos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(vaikui, kuriam nustatyta laikinoji ar nuolatinė globa)</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Asmens socialinės globos poreikio vertinimas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p>
                <w:pPr>
                  <w:widowControl w:val="0"/>
                  <w:suppressAutoHyphens/>
                  <w:jc w:val="center"/>
                  <w:rPr>
                    <w:color w:val="000000"/>
                  </w:rPr>
                </w:pPr>
                <w:r>
                  <w:rPr>
                    <w:color w:val="000000"/>
                  </w:rPr>
                  <w:t>(išskyrus likusiam be tėvų globos vaikui)</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r>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rPr>
                  <w:t>8</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rPr>
                    <w:color w:val="000000"/>
                  </w:rPr>
                </w:pPr>
                <w:r>
                  <w:rPr>
                    <w:color w:val="000000"/>
                    <w:spacing w:val="-2"/>
                  </w:rPr>
                  <w:t>Sprendimas dėl socialinės globos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133"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pPr>
                  <w:widowControl w:val="0"/>
                  <w:suppressAutoHyphens/>
                  <w:jc w:val="center"/>
                  <w:rPr>
                    <w:color w:val="000000"/>
                  </w:rPr>
                </w:pPr>
                <w:r>
                  <w:rPr>
                    <w:color w:val="000000"/>
                  </w:rPr>
                  <w:t>+</w:t>
                </w:r>
              </w:p>
            </w:tc>
          </w:tr>
        </w:tbl>
        <w:p>
          <w:pPr>
            <w:widowControl w:val="0"/>
            <w:suppressAutoHyphens/>
            <w:ind w:firstLine="567"/>
            <w:jc w:val="both"/>
            <w:rPr>
              <w:color w:val="000000"/>
            </w:rPr>
          </w:pPr>
        </w:p>
        <w:p>
          <w:pPr>
            <w:widowControl w:val="0"/>
            <w:suppressAutoHyphen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A963BFF5A6">
            <w:r w:rsidRPr="00532B9F">
              <w:rPr>
                <w:rFonts w:ascii="Times New Roman" w:eastAsia="MS Mincho" w:hAnsi="Times New Roman"/>
                <w:sz w:val="20"/>
                <w:i/>
                <w:iCs/>
                <w:color w:val="0000FF" w:themeColor="hyperlink"/>
                <w:u w:val="single"/>
              </w:rPr>
              <w:t>A1-355</w:t>
            </w:r>
          </w:fldSimple>
          <w:r>
            <w:rPr>
              <w:rFonts w:ascii="Times New Roman" w:eastAsia="MS Mincho" w:hAnsi="Times New Roman"/>
              <w:sz w:val="20"/>
              <w:i/>
              <w:iCs/>
            </w:rPr>
            <w:t>,
2012-07-20,
Žin., 2012, Nr.
89-4664 (2012-07-26), i. k. 1122230ISAK00A1-355            </w:t>
          </w:r>
        </w:p>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19"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4D268ECF43">
            <w:r w:rsidRPr="00532B9F">
              <w:rPr>
                <w:rFonts w:ascii="Times New Roman" w:eastAsia="MS Mincho" w:hAnsi="Times New Roman"/>
                <w:sz w:val="20"/>
                <w:iCs/>
                <w:color w:val="0000FF" w:themeColor="hyperlink"/>
                <w:u w:val="single"/>
              </w:rPr>
              <w:t>A1-311</w:t>
            </w:r>
          </w:fldSimple>
          <w:r>
            <w:rPr>
              <w:rFonts w:ascii="Times New Roman" w:eastAsia="MS Mincho" w:hAnsi="Times New Roman"/>
              <w:sz w:val="20"/>
              <w:iCs/>
            </w:rPr>
            <w:t>,
2010-06-30,
Žin., 2010, Nr.
79-4099 (2010-07-03), i. k. 1102230ISAK00A1-311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A963BFF5A6">
            <w:r w:rsidRPr="00532B9F">
              <w:rPr>
                <w:rFonts w:ascii="Times New Roman" w:eastAsia="MS Mincho" w:hAnsi="Times New Roman"/>
                <w:sz w:val="20"/>
                <w:iCs/>
                <w:color w:val="0000FF" w:themeColor="hyperlink"/>
                <w:u w:val="single"/>
              </w:rPr>
              <w:t>A1-355</w:t>
            </w:r>
          </w:fldSimple>
          <w:r>
            <w:rPr>
              <w:rFonts w:ascii="Times New Roman" w:eastAsia="MS Mincho" w:hAnsi="Times New Roman"/>
              <w:sz w:val="20"/>
              <w:iCs/>
            </w:rPr>
            <w:t>,
2012-07-20,
Žin., 2012, Nr.
89-4664 (2012-07-26), i. k. 1122230ISAK00A1-355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9EFA6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E7733EEB4DF6"/>
  <Relationship Id="rId17" Type="http://schemas.openxmlformats.org/officeDocument/2006/relationships/hyperlink" TargetMode="External" Target="https://www.e-tar.lt/portal/lt/legalAct/TAR.B681FF81BF7C"/>
  <Relationship Id="rId18" Type="http://schemas.openxmlformats.org/officeDocument/2006/relationships/hyperlink" TargetMode="External" Target="https://www.e-tar.lt/portal/lt/legalAct/TAR.357CED0697CB"/>
  <Relationship Id="rId19" Type="http://schemas.openxmlformats.org/officeDocument/2006/relationships/hyperlink" TargetMode="External" Target="https://www.e-tar.lt/portal/lt/legalAct/TAR.91609F53E29E"/>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51F78AE58AC5"/>
  <Relationship Id="rId22" Type="http://schemas.openxmlformats.org/officeDocument/2006/relationships/hyperlink" TargetMode="External" Target="https://www.e-tar.lt/portal/lt/legalAct/TAR.AEF3179DE670"/>
  <Relationship Id="rId23" Type="http://schemas.openxmlformats.org/officeDocument/2006/relationships/hyperlink" TargetMode="External" Target="https://www.e-tar.lt/portal/lt/legalAct/TAR.D892F4364169"/>
  <Relationship Id="rId24" Type="http://schemas.openxmlformats.org/officeDocument/2006/relationships/hyperlink" TargetMode="External" Target="https://www.e-tar.lt/portal/lt/legalAct/TAR.50C21705BEF5"/>
  <Relationship Id="rId25" Type="http://schemas.openxmlformats.org/officeDocument/2006/relationships/hyperlink" TargetMode="External" Target="https://www.e-tar.lt/portal/lt/legalAct/TAR.58A74BE4DC22"/>
  <Relationship Id="rId26" Type="http://schemas.openxmlformats.org/officeDocument/2006/relationships/hyperlink" TargetMode="External" Target="https://www.e-tar.lt/portal/lt/legalAct/TAR.BC20ABB451B4"/>
  <Relationship Id="rId27" Type="http://schemas.openxmlformats.org/officeDocument/2006/relationships/hyperlink" TargetMode="External" Target="https://www.e-tar.lt/portal/lt/legalAct/TAR.BC20ABB451B4"/>
  <Relationship Id="rId28" Type="http://schemas.openxmlformats.org/officeDocument/2006/relationships/hyperlink" TargetMode="External" Target="https://www.e-tar.lt/portal/lt/legalAct/TAR.8E45E7B95A56"/>
  <Relationship Id="rId29" Type="http://schemas.openxmlformats.org/officeDocument/2006/relationships/hyperlink" TargetMode="External" Target="https://www.e-tar.lt/portal/lt/legalAct/TAR.8A037D79F865"/>
  <Relationship Id="rId3" Type="http://schemas.openxmlformats.org/officeDocument/2006/relationships/footer" Target="footer2.xml"/>
  <Relationship Id="rId30" Type="http://schemas.openxmlformats.org/officeDocument/2006/relationships/customXml" Target="../customXml/item1.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4f7fac5c9dcb4a08b40ce8174476aa81">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96d7abb180624c6a9793b8ef642fd69e"/>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811dc3b60cf645a5ba15f1a90484d312"/>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64780304aec14a88bee101b85194966f">
        <Part Type="punktas" Nr="22.1" Abbr="22.1 p." DocPartId="72768eb0c8e546a8be0b9fa93a4f78f3" PartId="934515421b1f4750978617c58f22359c"/>
        <Part Type="punktas" Nr="22.2" Abbr="22.2 p." DocPartId="c1aa6fd2530645ee85a5c6a60663ce31" PartId="ad181ecd5adb4c9090faeb81358fc40f"/>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f2a780b89ec648fda07508f9f43c287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f70555a596124a7d8d33c8bbed530855"/>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0791ac57a7ba4d66bb93099d535927d1"/>
      <Part Type="punktas" Nr="56" Abbr="56 p." DocPartId="b3c9fa23773e44708018d213e8e70d33" PartId="e8b089f7b11943f09b52196dc59898e5"/>
      <Part Type="punktas" Nr="57" Abbr="57 p." DocPartId="2a996caaf3e644e2a553a979ac9bfe39" PartId="01b67f0cc20c48878f72c42461171fff"/>
      <Part Type="punktas" Nr="58" Abbr="58 p." DocPartId="2733a1f6821848d2a0c6fa0458fc9df0" PartId="52743213cba5417199322a070532da6d"/>
      <Part Type="punktas" Nr="59" Abbr="59 p." DocPartId="9ce41a479c494abb8af945d4c5540aee" PartId="00685671ced04bc1bb2b6d8d21b5609b"/>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085929d01233419bb80af60848fbc7af"/>
      <Part Type="punktas" Nr="63" Abbr="63 p." DocPartId="9d44758e28924d32beb82f54d31db126" PartId="3c3a2f974c744334a200e8e936b66f03"/>
      <Part Type="punktas" Nr="64" Abbr="64 p." DocPartId="77af59cd84b54ad28ff90e0211bbddca" PartId="c3c673c6c9814d43a9a552e9ba88e655"/>
      <Part Type="punktas" Nr="65" Abbr="65 p." DocPartId="d0645947bc7e42209de96e5fc9ae8bfa" PartId="39bccfd9d0c94598bc4c03ea0ea953af"/>
      <Part Type="punktas" Nr="66" Abbr="66 p." DocPartId="f0ecacb3a0dc49b892c385a33a85bfb5" PartId="1600cf98518846afb336ccf5ef750111"/>
      <Part Type="punktas" Nr="67" Abbr="67 p." DocPartId="c574f11385b24139b30795e0f53df820" PartId="5d08af11c00d4661aac1d7a822c7c77d"/>
      <Part Type="punktas" Nr="68" Abbr="68 p." DocPartId="743438b330424361a0890af2a885637c" PartId="b768b2da49d9433a849e5e8e437d3ffc"/>
      <Part Type="punktas" Nr="68-1" Abbr="68-1 p." Title="" DocPartId="6c923a5fdb20417e921c5f328b47f524" PartId="9fcecab3a8bb4319a0a42d9aa7e6d961"/>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9fb1b90983a24b5c83c81f4abc381b92"/>
      <Part Type="punktas" Nr="78" Abbr="78 p." DocPartId="36a0de95c7ee48189d93ed8fd8eba6a0" PartId="6aec0b605f9a4a768380431e8a555acf"/>
      <Part Type="punktas" Nr="79" Abbr="79 p." DocPartId="21accddad286485a8c90cfc280a7c2e9" PartId="29ff8ff003ca4eeb8656e11678c8938d"/>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1e3c8cd8be1c49b2b552dfadb4fe780b"/>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74B073B5-5BFC-4908-87C4-6B4705ABC054}">
  <ds:schemaRefs>
    <ds:schemaRef ds:uri="http://lrs.lt/TAIS/DocParts"/>
  </ds:schemaRefs>
</ds:datastoreItem>
</file>

<file path=docProps/app.xml><?xml version="1.0" encoding="utf-8"?>
<Properties xmlns="http://schemas.openxmlformats.org/officeDocument/2006/extended-properties">
  <Template>Normal.dotm</Template>
  <TotalTime>40</TotalTime>
  <Pages>32</Pages>
  <Words>49792</Words>
  <Characters>28382</Characters>
  <Application>Microsoft Office Word</Application>
  <DocSecurity>0</DocSecurity>
  <Lines>236</Lines>
  <Paragraphs>156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MINISTRO</vt:lpstr>
    </vt:vector>
  </TitlesOfParts>
  <Company>TIC</Company>
  <LinksUpToDate>false</LinksUpToDate>
  <CharactersWithSpaces>78018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2015-10-23T08:33:00Z</dcterms:modified>
  <revision>16</revision>
  <dc:title>LIETUVOS RESPUBLIKOS SOCIALINĖS APSAUGOS IR DARBO MINISTRO</dc:title>
</coreProperties>
</file>