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0e74c53dfc94ce7bc770495a4b6003f"/>
        <w:lock w:val="sdtLocked"/>
        <w:richText/>
      </w:sdtPr>
      <w:sdtContent>
        <w:p>
          <w:pPr>
            <w:jc w:val="both"/>
            <w:rPr>
              <w:rFonts w:ascii="Times New Roman" w:hAnsi="Times New Roman"/>
            </w:rPr>
          </w:pPr>
          <w:r>
            <w:rPr>
              <w:rFonts w:ascii="Times New Roman" w:hAnsi="Times New Roman"/>
              <w:b/>
              <w:i/>
            </w:rPr>
            <w:t>Suvestinė redakcija nuo 2025-03-27 iki 2026-03-31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2024-10-23, i. k. 2024-18361</w:t>
          </w:r>
        </w:p>
        <w:p>
          <w:pPr>
            <w:jc w:val="both"/>
            <w:rPr>
              <w:rFonts w:ascii="Times New Roman" w:hAnsi="Times New Roman"/>
              <w:sz w:val="20"/>
            </w:rPr>
          </w:pPr>
        </w:p>
        <w:p>
          <w:pPr>
            <w:tabs>
              <w:tab w:val="center" w:pos="4680"/>
              <w:tab w:val="right" w:pos="9360"/>
            </w:tabs>
            <w:rPr>
              <w:sz w:val="22"/>
              <w:szCs w:val="22"/>
              <w:lang w:eastAsia="lt-LT"/>
            </w:r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color w:val="000000"/>
              <w:szCs w:val="24"/>
              <w:lang w:eastAsia="lt-LT"/>
            </w:rPr>
            <w:drawing>
              <wp:inline distT="0" distB="0" distL="0" distR="0">
                <wp:extent cx="541020" cy="556260"/>
                <wp:effectExtent l="0" t="0" r="0" b="0"/>
                <wp:docPr id="30"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jc w:val="center"/>
            <w:rPr>
              <w:b/>
              <w:bCs/>
              <w:caps/>
              <w:color w:val="000000"/>
              <w:szCs w:val="22"/>
            </w:rPr>
          </w:pPr>
          <w:r>
            <w:rPr>
              <w:b/>
              <w:bCs/>
              <w:caps/>
              <w:color w:val="000000"/>
              <w:szCs w:val="22"/>
            </w:rPr>
            <w:t xml:space="preserve">VALSTYBINĖS MOKESČIŲ INSPEKCIJOS PRIE </w:t>
          </w:r>
        </w:p>
        <w:p>
          <w:pPr>
            <w:jc w:val="center"/>
            <w:rPr>
              <w:b/>
              <w:bCs/>
              <w:caps/>
              <w:color w:val="000000"/>
              <w:szCs w:val="22"/>
            </w:rPr>
          </w:pPr>
          <w:r>
            <w:rPr>
              <w:b/>
              <w:bCs/>
              <w:caps/>
              <w:color w:val="000000"/>
              <w:szCs w:val="22"/>
            </w:rPr>
            <w:t xml:space="preserve">LIETUVOS RESPUBLIKOS FINANSŲ MINISTERIJOS </w:t>
          </w: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bCs/>
              <w:caps/>
              <w:color w:val="000000"/>
              <w:szCs w:val="22"/>
            </w:rPr>
            <w:t>VIRŠININKAS</w:t>
          </w: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 xml:space="preserve">ĮSAKYMAS </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DĖL MOKESTINĖS NEPRIEMOKOS AR BAUDOS UŽ ADMINISTRACINĮ NUSIŽENGIMĄ MOKĖJIMO ATIDĖJIMO IR (AR) IŠDĖSTYMO TAISYKLIŲ IR FORMŲ PATVIRTINIMO</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2024 m. spalio 23 d. Nr. VA-83</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Vilnius</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preambule"/>
            <w:tag w:val="part_5030e7c96e2b4234a18f9659a844b9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2"/>
                </w:rPr>
              </w:pPr>
              <w:r>
                <w:rPr>
                  <w:szCs w:val="24"/>
                  <w:lang w:eastAsia="lt-LT"/>
                </w:rPr>
                <w:t xml:space="preserve">Vadovaudamasi Lietuvos Respublikos mokesčių administravimo įstatymo 88 straipsniu, </w:t>
              </w:r>
              <w:r>
                <w:rPr>
                  <w:color w:val="000000"/>
                  <w:szCs w:val="22"/>
                </w:rPr>
                <w:t xml:space="preserve">Valstybinės mokesčių inspekcijos prie Lietuvos Respublikos finansų ministerijos nuostatų, patvirtintų Lietuvos Respublikos finansų ministro 1997 m. liepos 29 d. įsakymu Nr. 110 </w:t>
              </w:r>
              <w:r>
                <w:rPr>
                  <w:bCs/>
                  <w:color w:val="333333"/>
                  <w:szCs w:val="24"/>
                  <w:shd w:val="clear" w:color="auto" w:fill="FFFFFF"/>
                </w:rPr>
                <w:t>„Dėl Valstybinės mokesčių inspekcijos prie Lietuvos Respublikos finansų ministerijos nuostatų patvirtinimo“</w:t>
              </w:r>
              <w:r>
                <w:rPr>
                  <w:color w:val="000000"/>
                  <w:szCs w:val="22"/>
                </w:rPr>
                <w:t>, 22.9 papunkčiu:</w:t>
              </w:r>
            </w:p>
          </w:sdtContent>
        </w:sdt>
        <w:sdt>
          <w:sdtPr>
            <w:alias w:val="1 p."/>
            <w:tag w:val="part_5040a086e4904dbba4cdbb7abceb276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lang w:eastAsia="lt-LT"/>
                </w:rPr>
              </w:pPr>
              <w:sdt>
                <w:sdtPr>
                  <w:alias w:val="Numeris"/>
                  <w:tag w:val="nr_5040a086e4904dbba4cdbb7abceb2765"/>
                  <w:lock w:val="sdtLocked"/>
                  <w:richText/>
                </w:sdtPr>
                <w:sdtContent>
                  <w:r>
                    <w:rPr>
                      <w:rFonts w:eastAsia="MS Mincho"/>
                      <w:szCs w:val="24"/>
                      <w:lang w:val="en-GB" w:eastAsia="lt-LT"/>
                    </w:rPr>
                    <w:t>1</w:t>
                  </w:r>
                </w:sdtContent>
              </w:sdt>
              <w:r>
                <w:rPr>
                  <w:rFonts w:eastAsia="MS Mincho"/>
                  <w:szCs w:val="24"/>
                  <w:lang w:val="en-GB" w:eastAsia="lt-LT"/>
                </w:rPr>
                <w:t>.</w:t>
                <w:tab/>
              </w:r>
              <w:r>
                <w:rPr>
                  <w:spacing w:val="80"/>
                  <w:lang w:eastAsia="lt-LT"/>
                </w:rPr>
                <w:t>Tvirtin</w:t>
              </w:r>
              <w:r>
                <w:rPr>
                  <w:lang w:eastAsia="lt-LT"/>
                </w:rPr>
                <w:t>u pridedamas:</w:t>
              </w:r>
            </w:p>
            <w:sdt>
              <w:sdtPr>
                <w:alias w:val="1.1 pp."/>
                <w:tag w:val="part_b2dd81c908114e5ead30c27050e7c77b"/>
                <w:lock w:val="sdtLocked"/>
                <w:richText/>
              </w:sdtPr>
              <w:sdtContent>
                <w:p>
                  <w:pPr>
                    <w:tabs>
                      <w:tab w:val="left" w:pos="0"/>
                      <w:tab w:val="left" w:pos="709"/>
                      <w:tab w:val="left" w:pos="127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lang w:eastAsia="lt-LT"/>
                    </w:rPr>
                  </w:pPr>
                  <w:sdt>
                    <w:sdtPr>
                      <w:alias w:val="Numeris"/>
                      <w:tag w:val="nr_b2dd81c908114e5ead30c27050e7c77b"/>
                      <w:lock w:val="sdtLocked"/>
                      <w:richText/>
                    </w:sdtPr>
                    <w:sdtContent>
                      <w:r>
                        <w:rPr>
                          <w:rFonts w:eastAsia="MS Mincho"/>
                          <w:szCs w:val="24"/>
                          <w:lang w:eastAsia="lt-LT"/>
                        </w:rPr>
                        <w:t>1.1</w:t>
                      </w:r>
                    </w:sdtContent>
                  </w:sdt>
                  <w:r>
                    <w:rPr>
                      <w:rFonts w:eastAsia="MS Mincho"/>
                      <w:szCs w:val="24"/>
                      <w:lang w:eastAsia="lt-LT"/>
                    </w:rPr>
                    <w:t>.</w:t>
                    <w:tab/>
                  </w:r>
                  <w:r>
                    <w:rPr>
                      <w:lang w:eastAsia="lt-LT"/>
                    </w:rPr>
                    <w:t>Mokestinės nepriemokos ar baudos už administracinį nusižengimą mokėjimo atidėjimo ir (ar) išdėstymo taisykles;</w:t>
                  </w:r>
                </w:p>
              </w:sdtContent>
            </w:sdt>
            <w:sdt>
              <w:sdtPr>
                <w:alias w:val="1.2 pp."/>
                <w:tag w:val="part_51cac63090f14e5d8d2fada7648d03dd"/>
                <w:lock w:val="sdtLocked"/>
                <w:richText/>
              </w:sdtPr>
              <w:sdtContent>
                <w:p>
                  <w:pPr>
                    <w:tabs>
                      <w:tab w:val="left" w:pos="0"/>
                      <w:tab w:val="left" w:pos="709"/>
                      <w:tab w:val="left" w:pos="127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lang w:eastAsia="lt-LT"/>
                    </w:rPr>
                  </w:pPr>
                  <w:sdt>
                    <w:sdtPr>
                      <w:alias w:val="Numeris"/>
                      <w:tag w:val="nr_51cac63090f14e5d8d2fada7648d03dd"/>
                      <w:lock w:val="sdtLocked"/>
                      <w:richText/>
                    </w:sdtPr>
                    <w:sdtContent>
                      <w:r>
                        <w:rPr>
                          <w:rFonts w:eastAsia="MS Mincho"/>
                          <w:color w:val="000000"/>
                          <w:szCs w:val="24"/>
                          <w:lang w:eastAsia="lt-LT"/>
                        </w:rPr>
                        <w:t>1.2</w:t>
                      </w:r>
                    </w:sdtContent>
                  </w:sdt>
                  <w:r>
                    <w:rPr>
                      <w:rFonts w:eastAsia="MS Mincho"/>
                      <w:color w:val="000000"/>
                      <w:szCs w:val="24"/>
                      <w:lang w:eastAsia="lt-LT"/>
                    </w:rPr>
                    <w:t>.</w:t>
                    <w:tab/>
                  </w:r>
                  <w:r>
                    <w:rPr>
                      <w:bCs/>
                      <w:color w:val="000000"/>
                    </w:rPr>
                    <w:t>Mokestinės paskolos sutarties FR0284 formą;</w:t>
                  </w:r>
                </w:p>
              </w:sdtContent>
            </w:sdt>
            <w:sdt>
              <w:sdtPr>
                <w:alias w:val="1.3 pp."/>
                <w:tag w:val="part_e388595a71cf443992b0968bedb14020"/>
                <w:lock w:val="sdtLocked"/>
                <w:richText/>
              </w:sdtPr>
              <w:sdtContent>
                <w:p>
                  <w:pPr>
                    <w:tabs>
                      <w:tab w:val="left" w:pos="709"/>
                      <w:tab w:val="left" w:pos="1276"/>
                    </w:tabs>
                    <w:ind w:firstLine="680"/>
                    <w:jc w:val="both"/>
                  </w:pPr>
                  <w:sdt>
                    <w:sdtPr>
                      <w:alias w:val="Numeris"/>
                      <w:tag w:val="nr_e388595a71cf443992b0968bedb14020"/>
                      <w:lock w:val="sdtLocked"/>
                      <w:richText/>
                    </w:sdtPr>
                    <w:sdtContent>
                      <w:r>
                        <w:rPr>
                          <w:rFonts w:eastAsia="MS Mincho"/>
                          <w:szCs w:val="24"/>
                          <w:lang w:eastAsia="ja-JP"/>
                        </w:rPr>
                        <w:t>1.3</w:t>
                      </w:r>
                    </w:sdtContent>
                  </w:sdt>
                  <w:r>
                    <w:rPr>
                      <w:rFonts w:eastAsia="MS Mincho"/>
                      <w:szCs w:val="24"/>
                      <w:lang w:eastAsia="ja-JP"/>
                    </w:rPr>
                    <w:t>.</w:t>
                    <w:tab/>
                  </w:r>
                  <w:r>
                    <w:t xml:space="preserve">Sprendimo atidėti / išdėstyti mokestinės nepriemokos / baudos už administracinį nusižengimą mokėjimą FR0285 formą; </w:t>
                  </w:r>
                </w:p>
              </w:sdtContent>
            </w:sdt>
            <w:sdt>
              <w:sdtPr>
                <w:alias w:val="1.4 pp."/>
                <w:tag w:val="part_d99fe1827aa545c297ed60d7ef9a3025"/>
                <w:lock w:val="sdtLocked"/>
                <w:richText/>
              </w:sdtPr>
              <w:sdtContent>
                <w:p>
                  <w:pPr>
                    <w:tabs>
                      <w:tab w:val="left" w:pos="709"/>
                      <w:tab w:val="left" w:pos="1276"/>
                    </w:tabs>
                    <w:ind w:firstLine="680"/>
                    <w:jc w:val="both"/>
                    <w:rPr>
                      <w:color w:val="000000"/>
                    </w:rPr>
                  </w:pPr>
                  <w:sdt>
                    <w:sdtPr>
                      <w:alias w:val="Numeris"/>
                      <w:tag w:val="nr_d99fe1827aa545c297ed60d7ef9a3025"/>
                      <w:lock w:val="sdtLocked"/>
                      <w:richText/>
                    </w:sdtPr>
                    <w:sdtContent>
                      <w:r>
                        <w:rPr>
                          <w:rFonts w:eastAsia="MS Mincho"/>
                          <w:color w:val="000000"/>
                          <w:szCs w:val="24"/>
                          <w:lang w:eastAsia="ja-JP"/>
                        </w:rPr>
                        <w:t>1.4</w:t>
                      </w:r>
                    </w:sdtContent>
                  </w:sdt>
                  <w:r>
                    <w:rPr>
                      <w:rFonts w:eastAsia="MS Mincho"/>
                      <w:color w:val="000000"/>
                      <w:szCs w:val="24"/>
                      <w:lang w:eastAsia="ja-JP"/>
                    </w:rPr>
                    <w:t>.</w:t>
                    <w:tab/>
                  </w:r>
                  <w:r>
                    <w:rPr>
                      <w:color w:val="000000"/>
                    </w:rPr>
                    <w:t>Sprendimo nutraukti mokestinės paskolos sutartį FR0286 formą;</w:t>
                  </w:r>
                </w:p>
              </w:sdtContent>
            </w:sdt>
            <w:sdt>
              <w:sdtPr>
                <w:alias w:val="1.5 pp."/>
                <w:tag w:val="part_418dd47ab6a94244abb439248f8041e4"/>
                <w:lock w:val="sdtLocked"/>
                <w:richText/>
              </w:sdtPr>
              <w:sdtContent>
                <w:p>
                  <w:pPr>
                    <w:tabs>
                      <w:tab w:val="left" w:pos="709"/>
                      <w:tab w:val="left" w:pos="1276"/>
                    </w:tabs>
                    <w:ind w:firstLine="680"/>
                    <w:jc w:val="both"/>
                    <w:rPr>
                      <w:color w:val="000000"/>
                    </w:rPr>
                  </w:pPr>
                  <w:sdt>
                    <w:sdtPr>
                      <w:alias w:val="Numeris"/>
                      <w:tag w:val="nr_418dd47ab6a94244abb439248f8041e4"/>
                      <w:lock w:val="sdtLocked"/>
                      <w:richText/>
                    </w:sdtPr>
                    <w:sdtContent>
                      <w:r>
                        <w:rPr>
                          <w:rFonts w:eastAsia="MS Mincho"/>
                          <w:szCs w:val="24"/>
                          <w:lang w:eastAsia="ja-JP"/>
                        </w:rPr>
                        <w:t>1.5</w:t>
                      </w:r>
                    </w:sdtContent>
                  </w:sdt>
                  <w:r>
                    <w:rPr>
                      <w:rFonts w:eastAsia="MS Mincho"/>
                      <w:szCs w:val="24"/>
                      <w:lang w:eastAsia="ja-JP"/>
                    </w:rPr>
                    <w:t xml:space="preserve">. </w:t>
                  </w:r>
                  <w:r>
                    <w:t>Sprendimo pakeisti Sprendimą atidėti / išdėstyti mokestinės nepriemokos / baudos už administracinį nusižengimą mokėjimą FR0287 formą;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1.6 pp."/>
                <w:tag w:val="part_83715c66ac404a239d40ce77c5f2976c"/>
                <w:lock w:val="sdtLocked"/>
                <w:richText/>
              </w:sdtPr>
              <w:sdtContent>
                <w:p>
                  <w:pPr>
                    <w:tabs>
                      <w:tab w:val="left" w:pos="709"/>
                      <w:tab w:val="left" w:pos="1276"/>
                    </w:tabs>
                    <w:ind w:firstLine="680"/>
                    <w:jc w:val="both"/>
                    <w:rPr>
                      <w:color w:val="000000"/>
                    </w:rPr>
                  </w:pPr>
                  <w:sdt>
                    <w:sdtPr>
                      <w:alias w:val="Numeris"/>
                      <w:tag w:val="nr_83715c66ac404a239d40ce77c5f2976c"/>
                      <w:lock w:val="sdtLocked"/>
                      <w:richText/>
                    </w:sdtPr>
                    <w:sdtContent>
                      <w:r>
                        <w:rPr>
                          <w:rFonts w:eastAsia="MS Mincho"/>
                          <w:color w:val="000000"/>
                          <w:szCs w:val="24"/>
                          <w:lang w:eastAsia="ja-JP"/>
                        </w:rPr>
                        <w:t>1.6</w:t>
                      </w:r>
                    </w:sdtContent>
                  </w:sdt>
                  <w:r>
                    <w:rPr>
                      <w:rFonts w:eastAsia="MS Mincho"/>
                      <w:color w:val="000000"/>
                      <w:szCs w:val="24"/>
                      <w:lang w:eastAsia="ja-JP"/>
                    </w:rPr>
                    <w:t>.</w:t>
                    <w:tab/>
                  </w:r>
                  <w:r>
                    <w:rPr>
                      <w:color w:val="000000"/>
                    </w:rPr>
                    <w:t>Įspėjimo FR1093 formą;</w:t>
                  </w:r>
                </w:p>
              </w:sdtContent>
            </w:sdt>
            <w:sdt>
              <w:sdtPr>
                <w:alias w:val="1.7 pp."/>
                <w:tag w:val="part_625ca859c75b478c995e737b75b1a05c"/>
                <w:lock w:val="sdtLocked"/>
                <w:richText/>
              </w:sdtPr>
              <w:sdtContent>
                <w:p>
                  <w:pPr>
                    <w:tabs>
                      <w:tab w:val="left" w:pos="709"/>
                      <w:tab w:val="left" w:pos="1276"/>
                    </w:tabs>
                    <w:ind w:firstLine="680"/>
                    <w:jc w:val="both"/>
                    <w:rPr>
                      <w:color w:val="000000"/>
                    </w:rPr>
                  </w:pPr>
                  <w:sdt>
                    <w:sdtPr>
                      <w:alias w:val="Numeris"/>
                      <w:tag w:val="nr_625ca859c75b478c995e737b75b1a05c"/>
                      <w:lock w:val="sdtLocked"/>
                      <w:richText/>
                    </w:sdtPr>
                    <w:sdtContent>
                      <w:r>
                        <w:rPr>
                          <w:rFonts w:eastAsia="MS Mincho"/>
                          <w:color w:val="000000"/>
                          <w:szCs w:val="24"/>
                          <w:lang w:eastAsia="ja-JP"/>
                        </w:rPr>
                        <w:t>1.7</w:t>
                      </w:r>
                    </w:sdtContent>
                  </w:sdt>
                  <w:r>
                    <w:rPr>
                      <w:rFonts w:eastAsia="MS Mincho"/>
                      <w:color w:val="000000"/>
                      <w:szCs w:val="24"/>
                      <w:lang w:eastAsia="ja-JP"/>
                    </w:rPr>
                    <w:t>.</w:t>
                    <w:tab/>
                  </w:r>
                  <w:r>
                    <w:rPr>
                      <w:color w:val="000000"/>
                    </w:rPr>
                    <w:t>Pranešimo apie mokėtinas palūkanas FR0556 formą.</w:t>
                  </w:r>
                </w:p>
              </w:sdtContent>
            </w:sdt>
          </w:sdtContent>
        </w:sdt>
        <w:sdt>
          <w:sdtPr>
            <w:alias w:val="2 p."/>
            <w:tag w:val="part_91a4faf1dda4450280bf683476d7126a"/>
            <w:lock w:val="sdtLocked"/>
            <w:richText/>
          </w:sdtPr>
          <w:sdtContent>
            <w:p>
              <w:pPr>
                <w:tabs>
                  <w:tab w:val="left" w:pos="709"/>
                  <w:tab w:val="left" w:pos="1276"/>
                </w:tabs>
                <w:ind w:left="1069" w:hanging="360"/>
                <w:jc w:val="both"/>
              </w:pPr>
              <w:sdt>
                <w:sdtPr>
                  <w:alias w:val="Numeris"/>
                  <w:tag w:val="nr_91a4faf1dda4450280bf683476d7126a"/>
                  <w:lock w:val="sdtLocked"/>
                  <w:richText/>
                </w:sdtPr>
                <w:sdtContent>
                  <w:r>
                    <w:rPr>
                      <w:rFonts w:eastAsia="MS Mincho"/>
                      <w:szCs w:val="24"/>
                      <w:lang w:eastAsia="ja-JP"/>
                    </w:rPr>
                    <w:t>2</w:t>
                  </w:r>
                </w:sdtContent>
              </w:sdt>
              <w:r>
                <w:rPr>
                  <w:rFonts w:eastAsia="MS Mincho"/>
                  <w:szCs w:val="24"/>
                  <w:lang w:eastAsia="ja-JP"/>
                </w:rPr>
                <w:t>.</w:t>
                <w:tab/>
              </w:r>
              <w:r>
                <w:rPr>
                  <w:spacing w:val="80"/>
                </w:rPr>
                <w:t>Pripažįst</w:t>
              </w:r>
              <w:r>
                <w:t>u netekusiais galios:</w:t>
              </w:r>
            </w:p>
            <w:sdt>
              <w:sdtPr>
                <w:alias w:val="2.1 pp."/>
                <w:tag w:val="part_7f592c0a19c44908a3e3f4eec4da8757"/>
                <w:lock w:val="sdtLocked"/>
                <w:richText/>
              </w:sdtPr>
              <w:sdtContent>
                <w:p>
                  <w:pPr>
                    <w:tabs>
                      <w:tab w:val="left" w:pos="709"/>
                    </w:tabs>
                    <w:ind w:firstLine="709"/>
                    <w:jc w:val="both"/>
                    <w:rPr>
                      <w:color w:val="000000"/>
                    </w:rPr>
                  </w:pPr>
                  <w:sdt>
                    <w:sdtPr>
                      <w:alias w:val="Numeris"/>
                      <w:tag w:val="nr_7f592c0a19c44908a3e3f4eec4da8757"/>
                      <w:lock w:val="sdtLocked"/>
                      <w:richText/>
                    </w:sdtPr>
                    <w:sdtContent>
                      <w:r>
                        <w:rPr>
                          <w:rFonts w:eastAsia="MS Mincho"/>
                          <w:color w:val="000000"/>
                          <w:szCs w:val="24"/>
                          <w:lang w:eastAsia="ja-JP"/>
                        </w:rPr>
                        <w:t>2.1</w:t>
                      </w:r>
                    </w:sdtContent>
                  </w:sdt>
                  <w:r>
                    <w:rPr>
                      <w:rFonts w:eastAsia="MS Mincho"/>
                      <w:color w:val="000000"/>
                      <w:szCs w:val="24"/>
                      <w:lang w:eastAsia="ja-JP"/>
                    </w:rPr>
                    <w:t>.</w:t>
                    <w:tab/>
                  </w:r>
                  <w:r>
                    <w:rPr>
                      <w:bCs/>
                      <w:color w:val="000000"/>
                    </w:rPr>
                    <w:t>Valstybinės mokesčių inspekcijos prie Lietuvos Respublikos finansų ministerijos viršininko 2001 m. spalio 3 d. įsakymą Nr. 236 „Dėl Mokestinės paskolos sutarties FR0284 formos ir Prašymo atidėti arba išdėstyti mokestinės nepriemokos ar baudos už administracinį nusižengimą sumokėjimą, sudarant mokestinės paskolos sutartį, reikalavimų aprašo patvirtinimo“ su visais pakeitimais ir papildymais;</w:t>
                  </w:r>
                </w:p>
              </w:sdtContent>
            </w:sdt>
            <w:sdt>
              <w:sdtPr>
                <w:alias w:val="2.2 pp."/>
                <w:tag w:val="part_10d0da0f617440dd80ecce4a50d8f0fa"/>
                <w:lock w:val="sdtLocked"/>
                <w:richText/>
              </w:sdtPr>
              <w:sdtContent>
                <w:p>
                  <w:pPr>
                    <w:tabs>
                      <w:tab w:val="left" w:pos="709"/>
                      <w:tab w:val="left" w:pos="1276"/>
                    </w:tabs>
                    <w:ind w:firstLine="709"/>
                    <w:jc w:val="both"/>
                    <w:rPr>
                      <w:color w:val="000000"/>
                    </w:rPr>
                  </w:pPr>
                  <w:sdt>
                    <w:sdtPr>
                      <w:alias w:val="Numeris"/>
                      <w:tag w:val="nr_10d0da0f617440dd80ecce4a50d8f0fa"/>
                      <w:lock w:val="sdtLocked"/>
                      <w:richText/>
                    </w:sdtPr>
                    <w:sdtContent>
                      <w:r>
                        <w:rPr>
                          <w:rFonts w:eastAsia="MS Mincho"/>
                          <w:color w:val="000000"/>
                          <w:szCs w:val="24"/>
                          <w:lang w:val="en-GB" w:eastAsia="ja-JP"/>
                        </w:rPr>
                        <w:t>2.2</w:t>
                      </w:r>
                    </w:sdtContent>
                  </w:sdt>
                  <w:r>
                    <w:rPr>
                      <w:rFonts w:eastAsia="MS Mincho"/>
                      <w:color w:val="000000"/>
                      <w:szCs w:val="24"/>
                      <w:lang w:val="en-GB" w:eastAsia="ja-JP"/>
                    </w:rPr>
                    <w:t>.</w:t>
                    <w:tab/>
                  </w:r>
                  <w:r>
                    <w:rPr>
                      <w:color w:val="000000"/>
                      <w:shd w:val="clear" w:color="auto" w:fill="FFFFFF"/>
                    </w:rPr>
                    <w:t xml:space="preserve">Valstybinės mokesčių inspekcijos prie Lietuvos Respublikos finansų ministerijos viršininko 2011 m. gegužės 26 d. įsakymą Nr. VA-65 „Dėl formų patvirtinimo“ </w:t>
                  </w:r>
                  <w:r>
                    <w:rPr>
                      <w:bCs/>
                      <w:color w:val="000000"/>
                    </w:rPr>
                    <w:t>su visais pakeitimais ir papildymais</w:t>
                  </w:r>
                  <w:r>
                    <w:rPr>
                      <w:color w:val="000000"/>
                      <w:shd w:val="clear" w:color="auto" w:fill="FFFFFF"/>
                    </w:rPr>
                    <w:t>;</w:t>
                  </w:r>
                </w:p>
              </w:sdtContent>
            </w:sdt>
            <w:sdt>
              <w:sdtPr>
                <w:alias w:val="2.3 pp."/>
                <w:tag w:val="part_a0efcbcc3e6642658170b09a5f570350"/>
                <w:lock w:val="sdtLocked"/>
                <w:richText/>
              </w:sdtPr>
              <w:sdtContent>
                <w:p>
                  <w:pPr>
                    <w:tabs>
                      <w:tab w:val="left" w:pos="709"/>
                      <w:tab w:val="left" w:pos="1276"/>
                    </w:tabs>
                    <w:ind w:firstLine="709"/>
                    <w:jc w:val="both"/>
                    <w:rPr>
                      <w:color w:val="000000"/>
                    </w:rPr>
                  </w:pPr>
                  <w:sdt>
                    <w:sdtPr>
                      <w:alias w:val="Numeris"/>
                      <w:tag w:val="nr_a0efcbcc3e6642658170b09a5f570350"/>
                      <w:lock w:val="sdtLocked"/>
                      <w:richText/>
                    </w:sdtPr>
                    <w:sdtContent>
                      <w:r>
                        <w:rPr>
                          <w:rFonts w:eastAsia="MS Mincho"/>
                          <w:color w:val="000000"/>
                          <w:szCs w:val="24"/>
                          <w:lang w:eastAsia="ja-JP"/>
                        </w:rPr>
                        <w:t>2.3</w:t>
                      </w:r>
                    </w:sdtContent>
                  </w:sdt>
                  <w:r>
                    <w:rPr>
                      <w:rFonts w:eastAsia="MS Mincho"/>
                      <w:color w:val="000000"/>
                      <w:szCs w:val="24"/>
                      <w:lang w:eastAsia="ja-JP"/>
                    </w:rPr>
                    <w:t>.</w:t>
                    <w:tab/>
                  </w:r>
                  <w:r>
                    <w:rPr>
                      <w:color w:val="000000"/>
                      <w:shd w:val="clear" w:color="auto" w:fill="FFFFFF"/>
                    </w:rPr>
                    <w:t xml:space="preserve">Valstybinės mokesčių inspekcijos prie Lietuvos Respublikos finansų ministerijos viršininko 2011 m. gegužės 26 d. įsakymo Nr. VA-71 „Dėl pranešimo ir įspėjimo formų patvirtinimo“ </w:t>
                  </w:r>
                  <w:r>
                    <w:rPr>
                      <w:color w:val="000000"/>
                    </w:rPr>
                    <w:t>1.2 papunktį (su visais Formos pakeitimais ir papildymais)</w:t>
                  </w:r>
                  <w:r>
                    <w:rPr>
                      <w:color w:val="000000"/>
                      <w:shd w:val="clear" w:color="auto" w:fill="FFFFFF"/>
                    </w:rPr>
                    <w:t xml:space="preserve">; </w:t>
                  </w:r>
                </w:p>
              </w:sdtContent>
            </w:sdt>
            <w:sdt>
              <w:sdtPr>
                <w:alias w:val="2.4 pp."/>
                <w:tag w:val="part_57fe8947ea90456e971c43eaa1458a9b"/>
                <w:lock w:val="sdtLocked"/>
                <w:richText/>
              </w:sdtPr>
              <w:sdtContent>
                <w:p>
                  <w:pPr>
                    <w:tabs>
                      <w:tab w:val="left" w:pos="709"/>
                      <w:tab w:val="left" w:pos="1276"/>
                    </w:tabs>
                    <w:ind w:firstLine="709"/>
                    <w:jc w:val="both"/>
                    <w:rPr>
                      <w:color w:val="000000"/>
                    </w:rPr>
                  </w:pPr>
                  <w:sdt>
                    <w:sdtPr>
                      <w:alias w:val="Numeris"/>
                      <w:tag w:val="nr_57fe8947ea90456e971c43eaa1458a9b"/>
                      <w:lock w:val="sdtLocked"/>
                      <w:richText/>
                    </w:sdtPr>
                    <w:sdtContent>
                      <w:r>
                        <w:rPr>
                          <w:rFonts w:eastAsia="MS Mincho"/>
                          <w:color w:val="000000"/>
                          <w:szCs w:val="24"/>
                          <w:lang w:eastAsia="ja-JP"/>
                        </w:rPr>
                        <w:t>2.4</w:t>
                      </w:r>
                    </w:sdtContent>
                  </w:sdt>
                  <w:r>
                    <w:rPr>
                      <w:rFonts w:eastAsia="MS Mincho"/>
                      <w:color w:val="000000"/>
                      <w:szCs w:val="24"/>
                      <w:lang w:eastAsia="ja-JP"/>
                    </w:rPr>
                    <w:t>.</w:t>
                    <w:tab/>
                  </w:r>
                  <w:r>
                    <w:rPr>
                      <w:color w:val="000000"/>
                      <w:shd w:val="clear" w:color="auto" w:fill="FFFFFF"/>
                    </w:rPr>
                    <w:t xml:space="preserve">Valstybinės mokesčių inspekcijos prie Lietuvos Respublikos finansų ministerijos viršininko </w:t>
                  </w:r>
                  <w:r>
                    <w:rPr>
                      <w:color w:val="000000"/>
                    </w:rPr>
                    <w:t xml:space="preserve">2014 m. gruodžio 11 d. įsakymą Nr. VA-182 </w:t>
                  </w:r>
                  <w:r>
                    <w:rPr>
                      <w:color w:val="000000"/>
                      <w:shd w:val="clear" w:color="auto" w:fill="FFFFFF"/>
                    </w:rPr>
                    <w:t>„</w:t>
                  </w:r>
                  <w:r>
                    <w:rPr>
                      <w:bCs/>
                      <w:color w:val="000000"/>
                      <w:shd w:val="clear" w:color="auto" w:fill="FFFFFF"/>
                    </w:rPr>
                    <w:t>Dėl Pranešimo apie mokėtinas palūkanas FR0556 formos patvirtinimo“ su visais pakeitimais ir papildymais.</w:t>
                  </w:r>
                </w:p>
              </w:sdtContent>
            </w:sdt>
          </w:sdtContent>
        </w:sdt>
        <w:sdt>
          <w:sdtPr>
            <w:alias w:val="3 p."/>
            <w:tag w:val="part_20b61301d9a24bb8ac9c5d22779eb6ab"/>
            <w:lock w:val="sdtLocked"/>
            <w:richText/>
          </w:sdtPr>
          <w:sdtContent>
            <w:p>
              <w:pPr>
                <w:tabs>
                  <w:tab w:val="left" w:pos="709"/>
                  <w:tab w:val="left" w:pos="1276"/>
                </w:tabs>
                <w:ind w:left="1069" w:hanging="360"/>
                <w:jc w:val="both"/>
                <w:rPr>
                  <w:szCs w:val="24"/>
                  <w:lang w:eastAsia="lt-LT"/>
                </w:rPr>
              </w:pPr>
              <w:sdt>
                <w:sdtPr>
                  <w:alias w:val="Numeris"/>
                  <w:tag w:val="nr_20b61301d9a24bb8ac9c5d22779eb6ab"/>
                  <w:lock w:val="sdtLocked"/>
                  <w:richText/>
                </w:sdtPr>
                <w:sdtContent>
                  <w:r>
                    <w:rPr>
                      <w:rFonts w:eastAsia="MS Mincho"/>
                      <w:color w:val="000000"/>
                      <w:szCs w:val="24"/>
                      <w:lang w:eastAsia="lt-LT"/>
                    </w:rPr>
                    <w:t>3</w:t>
                  </w:r>
                </w:sdtContent>
              </w:sdt>
              <w:r>
                <w:rPr>
                  <w:rFonts w:eastAsia="MS Mincho"/>
                  <w:color w:val="000000"/>
                  <w:szCs w:val="24"/>
                  <w:lang w:eastAsia="lt-LT"/>
                </w:rPr>
                <w:t>.</w:t>
                <w:tab/>
              </w:r>
              <w:r>
                <w:rPr>
                  <w:color w:val="000000"/>
                  <w:spacing w:val="80"/>
                </w:rPr>
                <w:t>Nustata</w:t>
              </w:r>
              <w:r>
                <w:rPr>
                  <w:color w:val="000000"/>
                </w:rPr>
                <w:t>u, kad šis įsakymas įsigalioja 2024 m. lapkričio 1 d.</w:t>
              </w:r>
            </w:p>
          </w:sdtContent>
        </w:sdt>
        <w:sdt>
          <w:sdtPr>
            <w:alias w:val="signatura"/>
            <w:tag w:val="part_1d1e9587c7c5448c82e0b1ed701412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Cs w:val="24"/>
                  <w:lang w:eastAsia="lt-LT"/>
                </w:rPr>
                <w:t>Viršininkė</w:t>
                <w:tab/>
                <w:tab/>
                <w:tab/>
                <w:tab/>
                <w:tab/>
                <w:tab/>
                <w:tab/>
                <w:t xml:space="preserve">            Edita Janušienė</w:t>
              </w:r>
            </w:p>
          </w:sdtContent>
        </w:sdt>
      </w:sdtContent>
    </w:sdt>
    <w:sdt>
      <w:sdtPr>
        <w:alias w:val="patvirtinta"/>
        <w:tag w:val="part_5353cb1daad6406abff515fb23a55f53"/>
        <w:lock w:val="sdtLocked"/>
        <w:richText/>
      </w:sdtPr>
      <w:sdtContent>
        <w:p>
          <w:pPr>
            <w:widowControl w:val="0"/>
            <w:tabs>
              <w:tab w:val="left" w:leader="dot" w:pos="851"/>
              <w:tab w:val="left" w:leader="dot" w:pos="1992"/>
              <w:tab w:val="left" w:leader="dot" w:pos="3384"/>
            </w:tabs>
            <w:spacing w:line="144" w:lineRule="atLeast"/>
            <w:ind w:firstLine="4962"/>
            <w:jc w:val="both"/>
            <w:sectPr>
              <w:headerReference w:type="default" r:id="rId13"/>
              <w:pgSz w:w="11907" w:h="16839"/>
              <w:pgMar w:top="1134" w:right="567" w:bottom="1134" w:left="1701" w:header="567" w:footer="567" w:gutter="0"/>
              <w:pgNumType w:start="1"/>
              <w:cols w:space="1296"/>
              <w:titlePg/>
              <w:docGrid w:linePitch="360"/>
            </w:sectPr>
          </w:pPr>
        </w:p>
        <w:p>
          <w:pPr>
            <w:widowControl w:val="0"/>
            <w:tabs>
              <w:tab w:val="left" w:leader="dot" w:pos="851"/>
              <w:tab w:val="left" w:leader="dot" w:pos="1992"/>
              <w:tab w:val="left" w:leader="dot" w:pos="3384"/>
            </w:tabs>
            <w:spacing w:line="144" w:lineRule="atLeast"/>
            <w:ind w:firstLine="4962"/>
            <w:jc w:val="both"/>
            <w:rPr>
              <w:color w:val="000000"/>
            </w:rPr>
          </w:pPr>
          <w:r>
            <w:rPr>
              <w:color w:val="000000"/>
            </w:rPr>
            <w:t>PATVIRTINTA</w:t>
          </w:r>
        </w:p>
        <w:p>
          <w:pPr>
            <w:widowControl w:val="0"/>
            <w:tabs>
              <w:tab w:val="left" w:leader="dot" w:pos="851"/>
              <w:tab w:val="left" w:leader="dot" w:pos="1992"/>
              <w:tab w:val="left" w:leader="dot" w:pos="3384"/>
            </w:tabs>
            <w:spacing w:line="144" w:lineRule="atLeast"/>
            <w:ind w:firstLine="4962"/>
            <w:jc w:val="both"/>
            <w:rPr>
              <w:color w:val="000000"/>
            </w:rPr>
          </w:pPr>
          <w:r>
            <w:rPr>
              <w:color w:val="000000"/>
            </w:rPr>
            <w:t xml:space="preserve">Valstybinės mokesčių inspekcijos prie </w:t>
          </w:r>
        </w:p>
        <w:p>
          <w:pPr>
            <w:widowControl w:val="0"/>
            <w:tabs>
              <w:tab w:val="left" w:leader="dot" w:pos="851"/>
              <w:tab w:val="left" w:leader="dot" w:pos="1992"/>
              <w:tab w:val="left" w:leader="dot" w:pos="3384"/>
            </w:tabs>
            <w:spacing w:line="144" w:lineRule="atLeast"/>
            <w:ind w:left="4536" w:firstLine="426"/>
            <w:jc w:val="both"/>
            <w:rPr>
              <w:color w:val="000000"/>
            </w:rPr>
          </w:pPr>
          <w:r>
            <w:rPr>
              <w:color w:val="000000"/>
            </w:rPr>
            <w:t xml:space="preserve">Lietuvos Respublikos finansų ministerijos </w:t>
          </w:r>
        </w:p>
        <w:p>
          <w:pPr>
            <w:widowControl w:val="0"/>
            <w:tabs>
              <w:tab w:val="left" w:leader="dot" w:pos="851"/>
              <w:tab w:val="left" w:leader="dot" w:pos="1992"/>
              <w:tab w:val="left" w:leader="dot" w:pos="3384"/>
            </w:tabs>
            <w:spacing w:line="144" w:lineRule="atLeast"/>
            <w:ind w:left="4962"/>
            <w:jc w:val="both"/>
            <w:rPr>
              <w:color w:val="000000"/>
            </w:rPr>
          </w:pPr>
          <w:r>
            <w:rPr>
              <w:color w:val="000000"/>
            </w:rPr>
            <w:t xml:space="preserve">viršininko </w:t>
          </w:r>
        </w:p>
        <w:p>
          <w:pPr>
            <w:widowControl w:val="0"/>
            <w:tabs>
              <w:tab w:val="left" w:leader="dot" w:pos="851"/>
              <w:tab w:val="left" w:leader="dot" w:pos="1992"/>
              <w:tab w:val="left" w:leader="dot" w:pos="3384"/>
            </w:tabs>
            <w:spacing w:line="144" w:lineRule="atLeast"/>
            <w:ind w:firstLine="4962"/>
            <w:jc w:val="both"/>
            <w:rPr>
              <w:color w:val="000000"/>
            </w:rPr>
          </w:pPr>
          <w:r>
            <w:rPr>
              <w:color w:val="000000"/>
            </w:rPr>
            <w:t>20</w:t>
          </w:r>
          <w:r>
            <w:rPr>
              <w:color w:val="000000"/>
              <w:lang w:val="en-US"/>
            </w:rPr>
            <w:t>24</w:t>
          </w:r>
          <w:r>
            <w:rPr>
              <w:color w:val="000000"/>
            </w:rPr>
            <w:t xml:space="preserve"> m. spalio 23 d. įsakymu Nr. VA-83</w:t>
          </w:r>
        </w:p>
        <w:p>
          <w:pPr>
            <w:ind w:left="960"/>
            <w:jc w:val="center"/>
            <w:rPr>
              <w:szCs w:val="24"/>
            </w:rPr>
          </w:pPr>
        </w:p>
        <w:p>
          <w:pPr>
            <w:ind w:left="960"/>
            <w:jc w:val="center"/>
            <w:rPr>
              <w:szCs w:val="24"/>
            </w:rPr>
          </w:pPr>
        </w:p>
        <w:p>
          <w:pPr>
            <w:jc w:val="center"/>
            <w:rPr>
              <w:b/>
              <w:szCs w:val="24"/>
            </w:rPr>
          </w:pPr>
          <w:sdt>
            <w:sdtPr>
              <w:alias w:val="Pavadinimas"/>
              <w:tag w:val="title_5353cb1daad6406abff515fb23a55f53"/>
              <w:lock w:val="sdtLocked"/>
              <w:richText/>
            </w:sdtPr>
            <w:sdtContent>
              <w:r>
                <w:rPr>
                  <w:b/>
                  <w:szCs w:val="24"/>
                </w:rPr>
                <w:t>MOKESTINĖS NEPRIEMOKOS AR BAUDOS UŽ ADMINISTRACINĮ NUSIŽENGIMĄ MOKĖJIMO ATIDĖJIMO IR (AR) IŠDĖSTYMO TAISYKLĖS</w:t>
              </w:r>
            </w:sdtContent>
          </w:sdt>
        </w:p>
        <w:p>
          <w:pPr>
            <w:ind w:left="960"/>
            <w:jc w:val="center"/>
            <w:rPr>
              <w:szCs w:val="24"/>
            </w:rPr>
          </w:pPr>
        </w:p>
        <w:sdt>
          <w:sdtPr>
            <w:alias w:val="skyrius"/>
            <w:tag w:val="part_236fa05b123340e7bfc73c81a7d0c7f6"/>
            <w:lock w:val="sdtLocked"/>
            <w:richText/>
          </w:sdtPr>
          <w:sdtContent>
            <w:p>
              <w:pPr>
                <w:jc w:val="center"/>
                <w:rPr>
                  <w:b/>
                  <w:szCs w:val="24"/>
                </w:rPr>
              </w:pPr>
              <w:sdt>
                <w:sdtPr>
                  <w:alias w:val="Numeris"/>
                  <w:tag w:val="nr_236fa05b123340e7bfc73c81a7d0c7f6"/>
                  <w:lock w:val="sdtLocked"/>
                  <w:richText/>
                </w:sdtPr>
                <w:sdtContent>
                  <w:r>
                    <w:rPr>
                      <w:b/>
                      <w:szCs w:val="24"/>
                    </w:rPr>
                    <w:t>I</w:t>
                  </w:r>
                </w:sdtContent>
              </w:sdt>
              <w:r>
                <w:rPr>
                  <w:b/>
                  <w:szCs w:val="24"/>
                </w:rPr>
                <w:t xml:space="preserve"> SKYRIUS</w:t>
              </w:r>
            </w:p>
            <w:p>
              <w:pPr>
                <w:jc w:val="center"/>
                <w:rPr>
                  <w:b/>
                  <w:szCs w:val="24"/>
                </w:rPr>
              </w:pPr>
              <w:sdt>
                <w:sdtPr>
                  <w:alias w:val="Pavadinimas"/>
                  <w:tag w:val="title_236fa05b123340e7bfc73c81a7d0c7f6"/>
                  <w:lock w:val="sdtLocked"/>
                  <w:richText/>
                </w:sdtPr>
                <w:sdtContent>
                  <w:r>
                    <w:rPr>
                      <w:b/>
                      <w:szCs w:val="24"/>
                    </w:rPr>
                    <w:t xml:space="preserve">BENDROSIOS NUOSTATOS </w:t>
                  </w:r>
                </w:sdtContent>
              </w:sdt>
            </w:p>
            <w:p>
              <w:pPr>
                <w:ind w:left="960"/>
                <w:jc w:val="center"/>
                <w:rPr>
                  <w:szCs w:val="24"/>
                </w:rPr>
              </w:pPr>
            </w:p>
            <w:sdt>
              <w:sdtPr>
                <w:alias w:val="1 p."/>
                <w:tag w:val="part_8432ef8013c747439e8661af232bc81b"/>
                <w:lock w:val="sdtLocked"/>
                <w:richText/>
              </w:sdtPr>
              <w:sdtContent>
                <w:p>
                  <w:pPr>
                    <w:ind w:firstLine="680"/>
                    <w:jc w:val="both"/>
                    <w:rPr>
                      <w:szCs w:val="24"/>
                    </w:rPr>
                  </w:pPr>
                  <w:sdt>
                    <w:sdtPr>
                      <w:alias w:val="Numeris"/>
                      <w:tag w:val="nr_8432ef8013c747439e8661af232bc81b"/>
                      <w:lock w:val="sdtLocked"/>
                      <w:richText/>
                    </w:sdtPr>
                    <w:sdtContent>
                      <w:r>
                        <w:rPr>
                          <w:szCs w:val="24"/>
                        </w:rPr>
                        <w:t>1</w:t>
                      </w:r>
                    </w:sdtContent>
                  </w:sdt>
                  <w:r>
                    <w:rPr>
                      <w:szCs w:val="24"/>
                    </w:rPr>
                    <w:t xml:space="preserve">. Mokestinės nepriemokos ar baudos už administracinį nusižengimą mokėjimo atidėjimo ir (ar) išdėstymo taisyklės (toliau – Taisyklės) reglamentuoja Prašymo atidėti ir (ar) išdėstyti mokestinės nepriemokos ar baudos už administracinį nusižengimą mokėjimą (toliau kartu – Prašymas) pateikimą ir nagrinėjimą, Sprendimo atidėti / išdėstyti mokestinės nepriemokos / baudos už administracinį nusižengimą mokėjimą, kurio forma FR0285 patvirtinta šiuo Valstybinės mokesčių inspekcijos prie Lietuvos Respublikos finansų ministerijos viršininko įsakymu (toliau – Sprendimas), priėmimą ir vykdymą, Mokestinės paskolos sutarties, kurios forma FR0284 patvirtinta šiuo Valstybinės mokesčių inspekcijos prie Lietuvos Respublikos finansų ministerijos viršininko įsakymu (toliau – Mokestinės paskolos sutartis), sudarymo ir vykdymo sąlygas, Sprendimo pakeisti </w:t>
                  </w:r>
                  <w:r>
                    <w:rPr>
                      <w:bCs/>
                      <w:color w:val="000000"/>
                      <w:szCs w:val="24"/>
                    </w:rPr>
                    <w:t>Sprendimą atidėti / išdėstyti mokestinės nepriemokos / baudos už administracinį nusižengimą mokėjimą, kurio forma</w:t>
                  </w:r>
                  <w:r>
                    <w:rPr>
                      <w:szCs w:val="24"/>
                    </w:rPr>
                    <w:t xml:space="preserve"> </w:t>
                  </w:r>
                  <w:r>
                    <w:rPr>
                      <w:bCs/>
                      <w:color w:val="000000"/>
                      <w:szCs w:val="24"/>
                    </w:rPr>
                    <w:t xml:space="preserve">FR0287 patvirtinta šiuo </w:t>
                  </w:r>
                  <w:r>
                    <w:rPr>
                      <w:szCs w:val="24"/>
                    </w:rPr>
                    <w:t xml:space="preserve">Valstybinės mokesčių inspekcijos prie Lietuvos Respublikos finansų ministerijos viršininko įsakymu (toliau ‒ Sprendimas pakeisti mokestinę paskolos sutartį), bei Sprendimo nutraukti </w:t>
                  </w:r>
                  <w:r>
                    <w:t xml:space="preserve">mokestinės paskolos sutartį, kurio </w:t>
                  </w:r>
                  <w:r>
                    <w:rPr>
                      <w:color w:val="000000"/>
                    </w:rPr>
                    <w:t xml:space="preserve">forma FR0286 patvirtinta šiuo </w:t>
                  </w:r>
                  <w:r>
                    <w:rPr>
                      <w:szCs w:val="24"/>
                    </w:rPr>
                    <w:t xml:space="preserve">Valstybinės mokesčių inspekcijos prie Lietuvos Respublikos finansų ministerijos viršininko įsakymu, priėmimą, </w:t>
                  </w:r>
                  <w:r>
                    <w:rPr>
                      <w:rFonts w:eastAsia="Calibri"/>
                      <w:szCs w:val="24"/>
                    </w:rPr>
                    <w:t>nustato prie Prašymo teiktinų dokumentų sąrašą bei rekomenduojamas jų formas.</w:t>
                  </w:r>
                  <w:r>
                    <w:rPr>
                      <w:szCs w:val="24"/>
                    </w:rPr>
                    <w:t xml:space="preserve"> </w:t>
                  </w:r>
                </w:p>
              </w:sdtContent>
            </w:sdt>
            <w:sdt>
              <w:sdtPr>
                <w:alias w:val="2 p."/>
                <w:tag w:val="part_7b3927380f244b678f39be4c4e17c234"/>
                <w:lock w:val="sdtLocked"/>
                <w:richText/>
              </w:sdtPr>
              <w:sdtContent>
                <w:p>
                  <w:pPr>
                    <w:tabs>
                      <w:tab w:val="left" w:pos="993"/>
                    </w:tabs>
                    <w:ind w:firstLine="680"/>
                    <w:jc w:val="both"/>
                  </w:pPr>
                  <w:sdt>
                    <w:sdtPr>
                      <w:alias w:val="Numeris"/>
                      <w:tag w:val="nr_7b3927380f244b678f39be4c4e17c234"/>
                      <w:lock w:val="sdtLocked"/>
                      <w:richText/>
                    </w:sdtPr>
                    <w:sdtContent>
                      <w:r>
                        <w:t>2</w:t>
                      </w:r>
                    </w:sdtContent>
                  </w:sdt>
                  <w:r>
                    <w:t xml:space="preserve">. Taisyklės parengtos, vadovaujantis 2013 m. gruodžio 18 d. Komisijos reglamentu (ES) Nr. 1408/2013 dėl Sutarties dėl Europos Sąjungos veikimo 107 ir 108 straipsnių taikymo </w:t>
                  </w:r>
                  <w:r>
                    <w:rPr>
                      <w:i/>
                    </w:rPr>
                    <w:t>de minimis</w:t>
                  </w:r>
                  <w:r>
                    <w:t xml:space="preserve"> pagalbai žemės ūkio sektoriuje su paskutiniais pakeitimais, padarytais 2024 m. gruodžio 10 d. Komisijos reglamentu (ES) 2024/3118 (toliau – Komisijos reglamentas (ES) Nr. 1408/2013), 2014 m. birželio 27 d. Komisijos reglamentu (ES) Nr. 717/2014 dėl Sutarties dėl Europos Sąjungos veikimo 107 ir 108 straipsnių taikymo </w:t>
                  </w:r>
                  <w:r>
                    <w:rPr>
                      <w:i/>
                    </w:rPr>
                    <w:t>de minimis</w:t>
                  </w:r>
                  <w:r>
                    <w:t xml:space="preserve"> pagalbai žuvininkystės ir akvakultūros sektoriuje su paskutiniais pakeitimais, padarytais 2023 m. spalio 4 d. Komisijos reglamentu (ES) 2023/2391 (toliau – Komisijos reglamentas (ES) Nr. 717/2014), 2023 m. gruodžio 13 d. Komisijos reglamentu (ES) 2023/2831 dėl Sutarties dėl Europos Sąjungos veikimo 107 ir 108 straipsnių taikymo </w:t>
                  </w:r>
                  <w:r>
                    <w:rPr>
                      <w:i/>
                    </w:rPr>
                    <w:t>de minimis</w:t>
                  </w:r>
                  <w:r>
                    <w:t xml:space="preserve"> pagalbai (toliau – Komisijos reglamentu (ES) 2023/2831), Lietuvos Respublikos mokesčių administravimo įstatymo (toliau – MAĮ) 88 straipsniu.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3 p."/>
                <w:tag w:val="part_6332ef98f46649c1a9fd0a8c13ca4f3e"/>
                <w:lock w:val="sdtLocked"/>
                <w:richText/>
              </w:sdtPr>
              <w:sdtContent>
                <w:p>
                  <w:pPr>
                    <w:tabs>
                      <w:tab w:val="left" w:pos="993"/>
                    </w:tabs>
                    <w:ind w:firstLine="680"/>
                    <w:jc w:val="both"/>
                  </w:pPr>
                  <w:sdt>
                    <w:sdtPr>
                      <w:alias w:val="Numeris"/>
                      <w:tag w:val="nr_6332ef98f46649c1a9fd0a8c13ca4f3e"/>
                      <w:lock w:val="sdtLocked"/>
                      <w:richText/>
                    </w:sdtPr>
                    <w:sdtContent>
                      <w:r>
                        <w:rPr>
                          <w:rFonts w:eastAsia="MS Mincho"/>
                          <w:szCs w:val="24"/>
                          <w:lang w:eastAsia="ja-JP"/>
                        </w:rPr>
                        <w:t>3</w:t>
                      </w:r>
                    </w:sdtContent>
                  </w:sdt>
                  <w:r>
                    <w:rPr>
                      <w:rFonts w:eastAsia="MS Mincho"/>
                      <w:szCs w:val="24"/>
                      <w:lang w:eastAsia="ja-JP"/>
                    </w:rPr>
                    <w:t>.</w:t>
                    <w:tab/>
                  </w:r>
                  <w:r>
                    <w:t>Taisyklėse vartojamos sąvokos:</w:t>
                  </w:r>
                </w:p>
                <w:sdt>
                  <w:sdtPr>
                    <w:alias w:val="3.1 pp."/>
                    <w:tag w:val="part_4d59fb65aec14de08d9b670035c34ee7"/>
                    <w:lock w:val="sdtLocked"/>
                    <w:richText/>
                  </w:sdtPr>
                  <w:sdtContent>
                    <w:p>
                      <w:pPr>
                        <w:ind w:firstLine="680"/>
                        <w:jc w:val="both"/>
                        <w:rPr>
                          <w:szCs w:val="24"/>
                        </w:rPr>
                      </w:pPr>
                      <w:sdt>
                        <w:sdtPr>
                          <w:alias w:val="Numeris"/>
                          <w:tag w:val="nr_4d59fb65aec14de08d9b670035c34ee7"/>
                          <w:lock w:val="sdtLocked"/>
                          <w:richText/>
                        </w:sdtPr>
                        <w:sdtContent>
                          <w:r>
                            <w:rPr>
                              <w:szCs w:val="24"/>
                            </w:rPr>
                            <w:t>3.1</w:t>
                          </w:r>
                        </w:sdtContent>
                      </w:sdt>
                      <w:r>
                        <w:rPr>
                          <w:szCs w:val="24"/>
                        </w:rPr>
                        <w:t xml:space="preserve">. </w:t>
                      </w:r>
                      <w:r>
                        <w:rPr>
                          <w:b/>
                          <w:szCs w:val="24"/>
                        </w:rPr>
                        <w:t>Baudos už administracinį nusižengimą mokėjimo išdėstymas</w:t>
                      </w:r>
                      <w:r>
                        <w:rPr>
                          <w:szCs w:val="24"/>
                        </w:rPr>
                        <w:t xml:space="preserve"> – asmens, kuriam paskirta bauda už administracinį nusižengimą, baudos mokėjimo išskirstymas dalimis pagal Mokestinės paskolos sutarties, kurios forma FR0284 patvirtinta šiuo Valstybinės mokesčių inspekcijos prie Lietuvos Respublikos finansų ministerijos viršininko įsakymu, grafiką. </w:t>
                      </w:r>
                    </w:p>
                  </w:sdtContent>
                </w:sdt>
                <w:sdt>
                  <w:sdtPr>
                    <w:alias w:val="3.2 pp."/>
                    <w:tag w:val="part_866a5d6f963042d897971b2a1f84aec7"/>
                    <w:lock w:val="sdtLocked"/>
                    <w:richText/>
                  </w:sdtPr>
                  <w:sdtContent>
                    <w:p>
                      <w:pPr>
                        <w:ind w:firstLine="680"/>
                        <w:jc w:val="both"/>
                        <w:rPr>
                          <w:szCs w:val="24"/>
                        </w:rPr>
                      </w:pPr>
                      <w:sdt>
                        <w:sdtPr>
                          <w:alias w:val="Numeris"/>
                          <w:tag w:val="nr_866a5d6f963042d897971b2a1f84aec7"/>
                          <w:lock w:val="sdtLocked"/>
                          <w:richText/>
                        </w:sdtPr>
                        <w:sdtContent>
                          <w:r>
                            <w:rPr>
                              <w:szCs w:val="24"/>
                            </w:rPr>
                            <w:t>3.2</w:t>
                          </w:r>
                        </w:sdtContent>
                      </w:sdt>
                      <w:r>
                        <w:rPr>
                          <w:szCs w:val="24"/>
                        </w:rPr>
                        <w:t xml:space="preserve">. </w:t>
                      </w:r>
                      <w:r>
                        <w:rPr>
                          <w:b/>
                          <w:szCs w:val="24"/>
                        </w:rPr>
                        <w:t>Mokestinės nepriemokos mokėjimo atidėjimas</w:t>
                      </w:r>
                      <w:r>
                        <w:rPr>
                          <w:szCs w:val="24"/>
                        </w:rPr>
                        <w:t xml:space="preserve"> – mokesčių mokėtojo mokestinės nepriemokos mokėjimo termino nukėlimas tolesniam laikui, kai mokesčių mokėtojas visą mokestinę nepriemoką privalo sumokėti Mokestinės paskolos sutarties, kurios forma FR0284 patvirtinta šiuo Valstybinės mokesčių inspekcijos prie Lietuvos Respublikos finansų ministerijos viršininko įsakymu, grafike nustatytą dieną.</w:t>
                      </w:r>
                    </w:p>
                  </w:sdtContent>
                </w:sdt>
                <w:sdt>
                  <w:sdtPr>
                    <w:alias w:val="3.3 pp."/>
                    <w:tag w:val="part_156f2817c2c948df9dfbd560265790fe"/>
                    <w:lock w:val="sdtLocked"/>
                    <w:richText/>
                  </w:sdtPr>
                  <w:sdtContent>
                    <w:p>
                      <w:pPr>
                        <w:ind w:firstLine="680"/>
                        <w:jc w:val="both"/>
                        <w:rPr>
                          <w:szCs w:val="24"/>
                        </w:rPr>
                      </w:pPr>
                      <w:sdt>
                        <w:sdtPr>
                          <w:alias w:val="Numeris"/>
                          <w:tag w:val="nr_156f2817c2c948df9dfbd560265790fe"/>
                          <w:lock w:val="sdtLocked"/>
                          <w:richText/>
                        </w:sdtPr>
                        <w:sdtContent>
                          <w:r>
                            <w:rPr>
                              <w:szCs w:val="24"/>
                            </w:rPr>
                            <w:t>3.3</w:t>
                          </w:r>
                        </w:sdtContent>
                      </w:sdt>
                      <w:r>
                        <w:rPr>
                          <w:szCs w:val="24"/>
                        </w:rPr>
                        <w:t xml:space="preserve">. </w:t>
                      </w:r>
                      <w:r>
                        <w:rPr>
                          <w:b/>
                          <w:szCs w:val="24"/>
                        </w:rPr>
                        <w:t>Mokestinės nepriemokos mokėjimo išdėstymas</w:t>
                      </w:r>
                      <w:r>
                        <w:rPr>
                          <w:szCs w:val="24"/>
                        </w:rPr>
                        <w:t xml:space="preserve"> – mokesčių mokėtojo mokestinės nepriemokos mokėjimo išskirstymas dalimis pagal Mokestinės paskolos sutarties, kurios forma FR0284 patvirtinta šiuo Valstybinės mokesčių inspekcijos prie Lietuvos Respublikos finansų ministerijos viršininko įsakymu, grafiką.</w:t>
                      </w:r>
                    </w:p>
                  </w:sdtContent>
                </w:sdt>
                <w:sdt>
                  <w:sdtPr>
                    <w:alias w:val="3.4 pp."/>
                    <w:tag w:val="part_c003dd27bfa84f8db44c34f3b9a39206"/>
                    <w:lock w:val="sdtLocked"/>
                    <w:richText/>
                  </w:sdtPr>
                  <w:sdtContent>
                    <w:p>
                      <w:pPr>
                        <w:ind w:firstLine="680"/>
                        <w:jc w:val="both"/>
                        <w:rPr>
                          <w:szCs w:val="24"/>
                        </w:rPr>
                      </w:pPr>
                      <w:sdt>
                        <w:sdtPr>
                          <w:alias w:val="Numeris"/>
                          <w:tag w:val="nr_c003dd27bfa84f8db44c34f3b9a39206"/>
                          <w:lock w:val="sdtLocked"/>
                          <w:richText/>
                        </w:sdtPr>
                        <w:sdtContent>
                          <w:r>
                            <w:rPr>
                              <w:szCs w:val="24"/>
                            </w:rPr>
                            <w:t>3.4</w:t>
                          </w:r>
                        </w:sdtContent>
                      </w:sdt>
                      <w:r>
                        <w:rPr>
                          <w:szCs w:val="24"/>
                        </w:rPr>
                        <w:t xml:space="preserve">. </w:t>
                      </w:r>
                      <w:r>
                        <w:rPr>
                          <w:b/>
                          <w:szCs w:val="24"/>
                        </w:rPr>
                        <w:t>Mokėtojas</w:t>
                      </w:r>
                      <w:r>
                        <w:rPr>
                          <w:szCs w:val="24"/>
                        </w:rPr>
                        <w:t xml:space="preserve"> – mokesčių mokėtojas arba asmuo, kuriam paskirta bauda už administracinį nusižengimą.</w:t>
                      </w:r>
                    </w:p>
                  </w:sdtContent>
                </w:sdt>
                <w:sdt>
                  <w:sdtPr>
                    <w:alias w:val="3.5 pp."/>
                    <w:tag w:val="part_e235f2241dbf46c788578b3a578ad12f"/>
                    <w:lock w:val="sdtLocked"/>
                    <w:richText/>
                  </w:sdtPr>
                  <w:sdtContent>
                    <w:p>
                      <w:pPr>
                        <w:ind w:firstLine="680"/>
                        <w:jc w:val="both"/>
                        <w:rPr>
                          <w:szCs w:val="24"/>
                        </w:rPr>
                      </w:pPr>
                      <w:sdt>
                        <w:sdtPr>
                          <w:alias w:val="Numeris"/>
                          <w:tag w:val="nr_e235f2241dbf46c788578b3a578ad12f"/>
                          <w:lock w:val="sdtLocked"/>
                          <w:richText/>
                        </w:sdtPr>
                        <w:sdtContent>
                          <w:r>
                            <w:rPr>
                              <w:szCs w:val="24"/>
                            </w:rPr>
                            <w:t>3.5</w:t>
                          </w:r>
                        </w:sdtContent>
                      </w:sdt>
                      <w:r>
                        <w:rPr>
                          <w:szCs w:val="24"/>
                        </w:rPr>
                        <w:t>.</w:t>
                      </w:r>
                      <w:r>
                        <w:rPr>
                          <w:b/>
                          <w:szCs w:val="24"/>
                        </w:rPr>
                        <w:t xml:space="preserve"> N</w:t>
                      </w:r>
                      <w:r>
                        <w:rPr>
                          <w:b/>
                          <w:bCs/>
                          <w:szCs w:val="24"/>
                        </w:rPr>
                        <w:t>ereikšminga (</w:t>
                      </w:r>
                      <w:r>
                        <w:rPr>
                          <w:b/>
                          <w:bCs/>
                          <w:i/>
                          <w:szCs w:val="24"/>
                        </w:rPr>
                        <w:t>de minimis</w:t>
                      </w:r>
                      <w:r>
                        <w:rPr>
                          <w:b/>
                          <w:bCs/>
                          <w:szCs w:val="24"/>
                        </w:rPr>
                        <w:t>) pagalba</w:t>
                      </w:r>
                      <w:r>
                        <w:rPr>
                          <w:i/>
                          <w:iCs/>
                          <w:szCs w:val="24"/>
                        </w:rPr>
                        <w:t xml:space="preserve"> </w:t>
                      </w:r>
                      <w:r>
                        <w:rPr>
                          <w:i/>
                          <w:szCs w:val="24"/>
                        </w:rPr>
                        <w:t xml:space="preserve">– </w:t>
                      </w:r>
                      <w:r>
                        <w:rPr>
                          <w:szCs w:val="24"/>
                        </w:rPr>
                        <w:t>nustatyto</w:t>
                      </w:r>
                      <w:r>
                        <w:rPr>
                          <w:i/>
                          <w:szCs w:val="24"/>
                        </w:rPr>
                        <w:t xml:space="preserve"> </w:t>
                      </w:r>
                      <w:r>
                        <w:rPr>
                          <w:i/>
                          <w:iCs/>
                          <w:szCs w:val="24"/>
                        </w:rPr>
                        <w:t>de minimis</w:t>
                      </w:r>
                      <w:r>
                        <w:rPr>
                          <w:i/>
                          <w:szCs w:val="24"/>
                        </w:rPr>
                        <w:t xml:space="preserve"> </w:t>
                      </w:r>
                      <w:r>
                        <w:rPr>
                          <w:szCs w:val="24"/>
                        </w:rPr>
                        <w:t>dydžio neviršijanti pagalba, kuri nedaro poveikio prekybai tarp valstybių narių ir (arba) neiškraipo konkurencijos arba nekelia tokios grėsmės, ir todėl jai netaikoma Sutarties dėl Europos Sąjungos veikimo 107 straipsnio 1 dalis.</w:t>
                      </w:r>
                    </w:p>
                  </w:sdtContent>
                </w:sdt>
                <w:sdt>
                  <w:sdtPr>
                    <w:alias w:val="3.6 pp."/>
                    <w:tag w:val="part_9247a2af7bd74a30a5ef5d620d48a69f"/>
                    <w:lock w:val="sdtLocked"/>
                    <w:richText/>
                  </w:sdtPr>
                  <w:sdtContent>
                    <w:p>
                      <w:pPr>
                        <w:ind w:firstLine="680"/>
                        <w:jc w:val="both"/>
                        <w:rPr>
                          <w:szCs w:val="24"/>
                        </w:rPr>
                      </w:pPr>
                      <w:sdt>
                        <w:sdtPr>
                          <w:alias w:val="Numeris"/>
                          <w:tag w:val="nr_9247a2af7bd74a30a5ef5d620d48a69f"/>
                          <w:lock w:val="sdtLocked"/>
                          <w:richText/>
                        </w:sdtPr>
                        <w:sdtContent>
                          <w:r>
                            <w:rPr>
                              <w:szCs w:val="24"/>
                            </w:rPr>
                            <w:t>3.6</w:t>
                          </w:r>
                        </w:sdtContent>
                      </w:sdt>
                      <w:r>
                        <w:rPr>
                          <w:szCs w:val="24"/>
                        </w:rPr>
                        <w:t>.</w:t>
                      </w:r>
                      <w:r>
                        <w:rPr>
                          <w:b/>
                          <w:szCs w:val="24"/>
                        </w:rPr>
                        <w:t xml:space="preserve"> Registras</w:t>
                      </w:r>
                      <w:r>
                        <w:rPr>
                          <w:szCs w:val="24"/>
                        </w:rPr>
                        <w:t xml:space="preserve"> – suteiktos valstybės pagalbos ir nereikšmingos (</w:t>
                      </w:r>
                      <w:r>
                        <w:rPr>
                          <w:i/>
                          <w:szCs w:val="24"/>
                        </w:rPr>
                        <w:t>de minimis</w:t>
                      </w:r>
                      <w:r>
                        <w:rPr>
                          <w:szCs w:val="24"/>
                        </w:rPr>
                        <w:t>) pagalbos registras.</w:t>
                      </w:r>
                    </w:p>
                  </w:sdtContent>
                </w:sdt>
                <w:sdt>
                  <w:sdtPr>
                    <w:alias w:val="3.7 pp."/>
                    <w:tag w:val="part_8f84aaaea9674a6993126061741a70e1"/>
                    <w:lock w:val="sdtLocked"/>
                    <w:richText/>
                  </w:sdtPr>
                  <w:sdtContent>
                    <w:p>
                      <w:pPr>
                        <w:ind w:firstLine="709"/>
                        <w:jc w:val="both"/>
                        <w:rPr>
                          <w:color w:val="000000"/>
                          <w:szCs w:val="24"/>
                        </w:rPr>
                      </w:pPr>
                      <w:sdt>
                        <w:sdtPr>
                          <w:alias w:val="Numeris"/>
                          <w:tag w:val="nr_8f84aaaea9674a6993126061741a70e1"/>
                          <w:lock w:val="sdtLocked"/>
                          <w:richText/>
                        </w:sdtPr>
                        <w:sdtContent>
                          <w:r>
                            <w:rPr>
                              <w:szCs w:val="24"/>
                            </w:rPr>
                            <w:t>3.7</w:t>
                          </w:r>
                        </w:sdtContent>
                      </w:sdt>
                      <w:r>
                        <w:rPr>
                          <w:szCs w:val="24"/>
                        </w:rPr>
                        <w:t xml:space="preserve">. </w:t>
                      </w:r>
                      <w:r>
                        <w:rPr>
                          <w:b/>
                          <w:szCs w:val="24"/>
                        </w:rPr>
                        <w:t xml:space="preserve">Viena įmonė </w:t>
                      </w:r>
                      <w:r>
                        <w:rPr>
                          <w:i/>
                          <w:szCs w:val="24"/>
                        </w:rPr>
                        <w:t>–</w:t>
                      </w:r>
                      <w:r>
                        <w:rPr>
                          <w:szCs w:val="24"/>
                        </w:rPr>
                        <w:t xml:space="preserve"> </w:t>
                      </w:r>
                      <w:r>
                        <w:rPr>
                          <w:color w:val="000000"/>
                          <w:szCs w:val="24"/>
                        </w:rPr>
                        <w:t>yra bet kurie ekonominę veiklą vykdantys mokesčių mokėtojai – fiziniai asmenys, ar mokesčių mokėtojai – juridiniai asmenys, nepaisant jų teisinio statuso ir finansavimo būdų, kurie apima visas įmones, kurios</w:t>
                      </w:r>
                      <w:r>
                        <w:t xml:space="preserve"> </w:t>
                      </w:r>
                      <w:r>
                        <w:rPr>
                          <w:color w:val="000000"/>
                          <w:szCs w:val="24"/>
                        </w:rPr>
                        <w:t xml:space="preserve">tarpusavyje yra susietos šiais bent vienos rūšies santykiais: (a) viena įmonė turi kitos įmonės akcininkų arba narių balsų daugumą, (b) viena įmonė turi teisę paskirti arba atleisti daugumą kitos įmonės administracijos, valdymo arba priežiūros organo narių, (c) viena įmonė turi teisę kitai įmonei daryti lemiamą poveikį, remdamasi su šia įmone sudaryta sutartimi arba vadovaudamasi steigimo sutarties ar įstatų nuostata, (d) </w:t>
                      </w:r>
                      <w:r>
                        <w:rPr>
                          <w:color w:val="000000"/>
                        </w:rPr>
                        <w:t>v</w:t>
                      </w:r>
                      <w:r>
                        <w:rPr>
                          <w:color w:val="000000"/>
                          <w:szCs w:val="24"/>
                        </w:rPr>
                        <w:t>iena įmonė, kuri yra kitos įmonės akcininkė arba narė, pagal susitarimą su kitais tos įmonės akcininkais ar nariais viena kontroliuoja tos įmonės akcininkų arba narių balsavimo teisių daugumą. Įmonės, kurios a–d punktuose nurodytais santykiais yra susietos per vieną ar daugiau kitų įmonių, taip pat laikomos Viena įmone.</w:t>
                      </w:r>
                    </w:p>
                  </w:sdtContent>
                </w:sdt>
                <w:sdt>
                  <w:sdtPr>
                    <w:alias w:val="3.8 pp."/>
                    <w:tag w:val="part_9034572ceaeb43fabcf79eae20b8c9be"/>
                    <w:lock w:val="sdtLocked"/>
                    <w:richText/>
                  </w:sdtPr>
                  <w:sdtContent>
                    <w:p>
                      <w:pPr>
                        <w:tabs>
                          <w:tab w:val="left" w:pos="993"/>
                        </w:tabs>
                        <w:ind w:firstLine="709"/>
                        <w:jc w:val="both"/>
                        <w:rPr>
                          <w:rFonts w:eastAsia="MS Mincho"/>
                          <w:szCs w:val="24"/>
                          <w:lang w:eastAsia="ja-JP"/>
                        </w:rPr>
                      </w:pPr>
                      <w:sdt>
                        <w:sdtPr>
                          <w:alias w:val="Numeris"/>
                          <w:tag w:val="nr_9034572ceaeb43fabcf79eae20b8c9be"/>
                          <w:lock w:val="sdtLocked"/>
                          <w:richText/>
                        </w:sdtPr>
                        <w:sdtContent>
                          <w:r>
                            <w:rPr>
                              <w:rFonts w:eastAsia="MS Mincho"/>
                              <w:szCs w:val="24"/>
                              <w:lang w:val="en-GB" w:eastAsia="ja-JP"/>
                            </w:rPr>
                            <w:t>3.8</w:t>
                          </w:r>
                        </w:sdtContent>
                      </w:sdt>
                      <w:r>
                        <w:rPr>
                          <w:rFonts w:ascii="ArialLT" w:eastAsia="MS Mincho" w:hAnsi="ArialLT"/>
                          <w:sz w:val="22"/>
                          <w:szCs w:val="24"/>
                          <w:lang w:val="en-GB" w:eastAsia="ja-JP"/>
                        </w:rPr>
                        <w:t xml:space="preserve">. </w:t>
                      </w:r>
                      <w:r>
                        <w:rPr>
                          <w:rFonts w:eastAsia="MS Mincho"/>
                          <w:szCs w:val="24"/>
                          <w:lang w:eastAsia="ja-JP"/>
                        </w:rPr>
                        <w:t xml:space="preserve">Kitos Taisyklėse vartojamos sąvokos atitinka </w:t>
                      </w:r>
                      <w:r>
                        <w:rPr>
                          <w:rFonts w:eastAsia="MS Mincho"/>
                          <w:szCs w:val="24"/>
                          <w:lang w:val="en-GB" w:eastAsia="ja-JP"/>
                        </w:rPr>
                        <w:t xml:space="preserve">2016 m. balandžio 27 d. Europos Parlamento ir Tarybos reglamente (ES) 2016/679 dėl fizinių asmenų apsaugos tvarkant asmens duomenis ir dėl laisvo tokių duomenų judėjimo ir kuriuo panaikinama Direktyva 95/46/EB (Bendrasis duomenų apsaugos reglamentas), </w:t>
                      </w:r>
                      <w:r>
                        <w:rPr>
                          <w:rFonts w:eastAsia="MS Mincho"/>
                          <w:szCs w:val="24"/>
                          <w:lang w:eastAsia="ja-JP"/>
                        </w:rPr>
                        <w:t xml:space="preserve">MAĮ, Lietuvos Respublikos konkurencijos įstatyme, kituose Lietuvos Respublikos ir Europos Sąjungos teisės aktuose vartojamas sąvokas. </w:t>
                      </w:r>
                    </w:p>
                  </w:sdtContent>
                </w:sdt>
              </w:sdtContent>
            </w:sdt>
            <w:sdt>
              <w:sdtPr>
                <w:alias w:val="4 p."/>
                <w:tag w:val="part_b2b7e79d252140eb885b62346833f267"/>
                <w:lock w:val="sdtLocked"/>
                <w:richText/>
              </w:sdtPr>
              <w:sdtContent>
                <w:p>
                  <w:pPr>
                    <w:ind w:firstLine="680"/>
                    <w:jc w:val="both"/>
                    <w:rPr>
                      <w:szCs w:val="24"/>
                    </w:rPr>
                  </w:pPr>
                  <w:sdt>
                    <w:sdtPr>
                      <w:alias w:val="Numeris"/>
                      <w:tag w:val="nr_b2b7e79d252140eb885b62346833f267"/>
                      <w:lock w:val="sdtLocked"/>
                      <w:richText/>
                    </w:sdtPr>
                    <w:sdtContent>
                      <w:r>
                        <w:rPr>
                          <w:szCs w:val="24"/>
                        </w:rPr>
                        <w:t>4</w:t>
                      </w:r>
                    </w:sdtContent>
                  </w:sdt>
                  <w:r>
                    <w:rPr>
                      <w:szCs w:val="24"/>
                    </w:rPr>
                    <w:t xml:space="preserve">. Baudos už administracinį nusižengimą mokėjimas taip pat gali būti išdėstytas Lietuvos Respublikos </w:t>
                  </w:r>
                  <w:r>
                    <w:rPr>
                      <w:iCs/>
                      <w:color w:val="000000"/>
                      <w:szCs w:val="24"/>
                    </w:rPr>
                    <w:t xml:space="preserve">administracinių </w:t>
                  </w:r>
                  <w:r>
                    <w:rPr>
                      <w:szCs w:val="24"/>
                    </w:rPr>
                    <w:t>nusižengimų</w:t>
                  </w:r>
                  <w:r>
                    <w:rPr>
                      <w:iCs/>
                      <w:color w:val="000000"/>
                      <w:szCs w:val="24"/>
                    </w:rPr>
                    <w:t xml:space="preserve"> kodekso</w:t>
                  </w:r>
                  <w:r>
                    <w:rPr>
                      <w:szCs w:val="24"/>
                    </w:rPr>
                    <w:t xml:space="preserve"> (toliau </w:t>
                  </w:r>
                  <w:r>
                    <w:rPr>
                      <w:i/>
                      <w:szCs w:val="24"/>
                    </w:rPr>
                    <w:t>–</w:t>
                  </w:r>
                  <w:r>
                    <w:rPr>
                      <w:szCs w:val="24"/>
                    </w:rPr>
                    <w:t xml:space="preserve"> ANK) 675 straipsnyje nustatyta tvarka. Jei baudos už administracinį nusižengimą mokėjimas buvo išdėstytas ANK nustatyta tvarka, Taisyklių nuostatos netaikomos.</w:t>
                  </w:r>
                </w:p>
              </w:sdtContent>
            </w:sdt>
            <w:sdt>
              <w:sdtPr>
                <w:alias w:val="5 p."/>
                <w:tag w:val="part_da14c8de785d4e2995b32849d4f7d932"/>
                <w:lock w:val="sdtLocked"/>
                <w:richText/>
              </w:sdtPr>
              <w:sdtContent>
                <w:p>
                  <w:pPr>
                    <w:ind w:firstLine="680"/>
                    <w:jc w:val="both"/>
                    <w:rPr>
                      <w:szCs w:val="24"/>
                      <w:lang w:val="en-US"/>
                    </w:rPr>
                  </w:pPr>
                  <w:sdt>
                    <w:sdtPr>
                      <w:alias w:val="Numeris"/>
                      <w:tag w:val="nr_da14c8de785d4e2995b32849d4f7d932"/>
                      <w:lock w:val="sdtLocked"/>
                      <w:richText/>
                    </w:sdtPr>
                    <w:sdtContent>
                      <w:r>
                        <w:rPr>
                          <w:szCs w:val="24"/>
                        </w:rPr>
                        <w:t>5</w:t>
                      </w:r>
                    </w:sdtContent>
                  </w:sdt>
                  <w:r>
                    <w:rPr>
                      <w:szCs w:val="24"/>
                    </w:rPr>
                    <w:t>. Mokestinės nepriemokos ar baudos už administracinį nusižengimą mokėjimas atidedamas ir (ar) išdėstomas mokesčių administratoriaus Sprendimu.</w:t>
                  </w:r>
                </w:p>
              </w:sdtContent>
            </w:sdt>
            <w:sdt>
              <w:sdtPr>
                <w:alias w:val="6 p."/>
                <w:tag w:val="part_4dec292dd6b547e79469b78a5a30f6fc"/>
                <w:lock w:val="sdtLocked"/>
                <w:richText/>
              </w:sdtPr>
              <w:sdtContent>
                <w:p>
                  <w:pPr>
                    <w:shd w:val="clear" w:color="auto" w:fill="FFFFFF"/>
                    <w:ind w:firstLine="680"/>
                    <w:jc w:val="both"/>
                    <w:rPr>
                      <w:color w:val="FF0000"/>
                      <w:szCs w:val="24"/>
                      <w:shd w:val="clear" w:color="auto" w:fill="FFFFFF"/>
                    </w:rPr>
                  </w:pPr>
                  <w:sdt>
                    <w:sdtPr>
                      <w:alias w:val="Numeris"/>
                      <w:tag w:val="nr_4dec292dd6b547e79469b78a5a30f6fc"/>
                      <w:lock w:val="sdtLocked"/>
                      <w:richText/>
                    </w:sdtPr>
                    <w:sdtContent>
                      <w:r>
                        <w:rPr>
                          <w:szCs w:val="24"/>
                        </w:rPr>
                        <w:t>6</w:t>
                      </w:r>
                    </w:sdtContent>
                  </w:sdt>
                  <w:r>
                    <w:rPr>
                      <w:szCs w:val="24"/>
                    </w:rPr>
                    <w:t xml:space="preserve">. Priimant Sprendimą, vertinama mokėtojo finansinė būklė pagal </w:t>
                  </w:r>
                  <w:r>
                    <w:rPr>
                      <w:szCs w:val="22"/>
                    </w:rPr>
                    <w:t>Mokesčių mokėtojo, turinčio mokestinę nepriemoką, arba asmens, kuriam paskirta bauda už administracinį nusižengimą, finansinės būklės vertinimo rekomendacijas, patvirtintas Valstybinės mokesčių inspekcijos prie Lietuvos Respublikos finansų ministerijos viršininko 2019 m. gegužės 6 d. įsakymu Nr. VA-38 „Dėl Mokesčių mokėtojo, turinčio mokestinę nepriemoką, arba asmens, kuriam paskirta bauda už administracinį nusižengimą, finansinės būklės vertinimo rekomendacijų patvirtinimo“ (toliau – Rekomendacijos)</w:t>
                  </w:r>
                  <w:r>
                    <w:rPr>
                      <w:szCs w:val="24"/>
                    </w:rPr>
                    <w:t>.</w:t>
                  </w:r>
                </w:p>
              </w:sdtContent>
            </w:sdt>
            <w:sdt>
              <w:sdtPr>
                <w:alias w:val="7 p."/>
                <w:tag w:val="part_c0deb24b3f4a425d850358485efff126"/>
                <w:lock w:val="sdtLocked"/>
                <w:richText/>
              </w:sdtPr>
              <w:sdtContent>
                <w:p>
                  <w:pPr>
                    <w:ind w:firstLine="680"/>
                    <w:jc w:val="both"/>
                    <w:rPr>
                      <w:szCs w:val="24"/>
                    </w:rPr>
                  </w:pPr>
                  <w:sdt>
                    <w:sdtPr>
                      <w:alias w:val="Numeris"/>
                      <w:tag w:val="nr_c0deb24b3f4a425d850358485efff126"/>
                      <w:lock w:val="sdtLocked"/>
                      <w:richText/>
                    </w:sdtPr>
                    <w:sdtContent>
                      <w:r>
                        <w:rPr>
                          <w:szCs w:val="24"/>
                          <w:lang w:val="en-US"/>
                        </w:rPr>
                        <w:t>7</w:t>
                      </w:r>
                    </w:sdtContent>
                  </w:sdt>
                  <w:r>
                    <w:rPr>
                      <w:szCs w:val="24"/>
                    </w:rPr>
                    <w:t xml:space="preserve">. Mokestinė nepriemoka ar bauda už administracinį nusižengimą, kurios mokėjimas atidėtas ir (ar) išdėstytas, per Sprendime nurodytą laikotarpį turi būti sumokėta pagal Mokestinės paskolos sutartį, sudarytą tarp mokėtojo ir mokesčių administratoriaus, ir pagal grafiką, kuris yra neatsiejama Mokestinės paskolos sutarties dalis. Mokėtojui atidedamos ir (ar) išdėstomos mokestinės nepriemokos ar baudos už administracinį nusižengimą dydis negali būti mažesnis nei 125,00 Eur. </w:t>
                  </w:r>
                </w:p>
              </w:sdtContent>
            </w:sdt>
            <w:sdt>
              <w:sdtPr>
                <w:alias w:val="8 p."/>
                <w:tag w:val="part_d2c5c861863a4c8ab8ffc289a334393a"/>
                <w:lock w:val="sdtLocked"/>
                <w:richText/>
              </w:sdtPr>
              <w:sdtContent>
                <w:p>
                  <w:pPr>
                    <w:ind w:firstLine="680"/>
                    <w:jc w:val="both"/>
                    <w:rPr>
                      <w:szCs w:val="24"/>
                    </w:rPr>
                  </w:pPr>
                  <w:sdt>
                    <w:sdtPr>
                      <w:alias w:val="Numeris"/>
                      <w:tag w:val="nr_d2c5c861863a4c8ab8ffc289a334393a"/>
                      <w:lock w:val="sdtLocked"/>
                      <w:richText/>
                    </w:sdtPr>
                    <w:sdtContent>
                      <w:r>
                        <w:rPr>
                          <w:szCs w:val="24"/>
                        </w:rPr>
                        <w:t>8</w:t>
                      </w:r>
                    </w:sdtContent>
                  </w:sdt>
                  <w:r>
                    <w:rPr>
                      <w:szCs w:val="24"/>
                    </w:rPr>
                    <w:t xml:space="preserve">. </w:t>
                  </w:r>
                  <w:r>
                    <w:rPr>
                      <w:color w:val="000000"/>
                      <w:szCs w:val="24"/>
                      <w:lang w:eastAsia="lt-LT"/>
                    </w:rPr>
                    <w:t xml:space="preserve">Mokestinės nepriemokos mokėjimas gali būti atidėtas iki vienų metų ir (ar) išdėstytas ne </w:t>
                  </w:r>
                  <w:r>
                    <w:rPr>
                      <w:color w:val="000000"/>
                      <w:szCs w:val="24"/>
                      <w:shd w:val="clear" w:color="auto" w:fill="FFFFFF"/>
                      <w:lang w:eastAsia="lt-LT"/>
                    </w:rPr>
                    <w:t>daugiau kaip</w:t>
                  </w:r>
                  <w:r>
                    <w:rPr>
                      <w:color w:val="000000"/>
                      <w:szCs w:val="24"/>
                      <w:lang w:eastAsia="lt-LT"/>
                    </w:rPr>
                    <w:t xml:space="preserve"> 5 metams nuo </w:t>
                  </w:r>
                  <w:r>
                    <w:rPr>
                      <w:color w:val="000000"/>
                      <w:szCs w:val="24"/>
                      <w:shd w:val="clear" w:color="auto" w:fill="FFFFFF"/>
                      <w:lang w:eastAsia="lt-LT"/>
                    </w:rPr>
                    <w:t xml:space="preserve">Prašymo pateikimo mokesčių administratoriui dienos, bet ne anksčiau kaip nuo mokestinės nepriemokos susidarymo dienos. </w:t>
                  </w:r>
                  <w:r>
                    <w:rPr>
                      <w:szCs w:val="24"/>
                    </w:rPr>
                    <w:t xml:space="preserve">Baudos už administracinį nusižengimą mokėjimas gali būti išdėstytas ne ilgesniam kaip dvejų metų laikotarpiui, skaičiuojant nuo ANK 675 straipsnio 2 dalyje numatyto baudos sumokėjimo termino dienos. </w:t>
                  </w:r>
                </w:p>
              </w:sdtContent>
            </w:sdt>
            <w:sdt>
              <w:sdtPr>
                <w:alias w:val="9 p."/>
                <w:tag w:val="part_672e70c77cb9469598c84e5efd297a8c"/>
                <w:lock w:val="sdtLocked"/>
                <w:richText/>
              </w:sdtPr>
              <w:sdtContent>
                <w:p>
                  <w:pPr>
                    <w:ind w:firstLine="709"/>
                    <w:jc w:val="both"/>
                    <w:rPr>
                      <w:szCs w:val="24"/>
                    </w:rPr>
                  </w:pPr>
                  <w:sdt>
                    <w:sdtPr>
                      <w:alias w:val="Numeris"/>
                      <w:tag w:val="nr_672e70c77cb9469598c84e5efd297a8c"/>
                      <w:lock w:val="sdtLocked"/>
                      <w:richText/>
                    </w:sdtPr>
                    <w:sdtContent>
                      <w:r>
                        <w:rPr>
                          <w:szCs w:val="24"/>
                        </w:rPr>
                        <w:t>9</w:t>
                      </w:r>
                    </w:sdtContent>
                  </w:sdt>
                  <w:r>
                    <w:rPr>
                      <w:szCs w:val="24"/>
                    </w:rPr>
                    <w:t>. Mokėtojas nedelsdamas informuoja mokesčių administratorių, jei apskundžia mokestinės nepriemokos, kurios mokėjimą prašo atidėti ir (ar) išdėstyti arba dėl kurios jau buvo priimtas Sprendimas, apskaičiavimo pagrįstumą arba jei atsiranda Taisyklių 52.2, 52.5 papunkčiuose numatyti pagrindai.</w:t>
                  </w:r>
                </w:p>
              </w:sdtContent>
            </w:sdt>
            <w:sdt>
              <w:sdtPr>
                <w:alias w:val="10 p."/>
                <w:tag w:val="part_ff95140c73a04de9a7c2955eabd72f9e"/>
                <w:lock w:val="sdtLocked"/>
                <w:richText/>
              </w:sdtPr>
              <w:sdtContent>
                <w:p>
                  <w:pPr>
                    <w:ind w:firstLine="680"/>
                    <w:jc w:val="both"/>
                    <w:rPr>
                      <w:szCs w:val="24"/>
                    </w:rPr>
                  </w:pPr>
                  <w:sdt>
                    <w:sdtPr>
                      <w:alias w:val="Numeris"/>
                      <w:tag w:val="nr_ff95140c73a04de9a7c2955eabd72f9e"/>
                      <w:lock w:val="sdtLocked"/>
                      <w:richText/>
                    </w:sdtPr>
                    <w:sdtContent>
                      <w:r>
                        <w:rPr>
                          <w:szCs w:val="24"/>
                        </w:rPr>
                        <w:t>10</w:t>
                      </w:r>
                    </w:sdtContent>
                  </w:sdt>
                  <w:r>
                    <w:rPr>
                      <w:szCs w:val="24"/>
                    </w:rPr>
                    <w:t xml:space="preserve">. Kokiu būdu mokestinė nepriemoka sumokama – ją atidedant ir (ar) išdėstant, sprendžia mokesčių administratorius, atsižvelgdamas į mokėtojo Prašyme išdėstytus motyvus dėl mokėtojo nurodyto vieno iš minėtų mokestinės nepriemokos mokėjimo būdų pasirinkimo ir mokėtojo finansinės būklės įvertinimą. </w:t>
                  </w:r>
                </w:p>
              </w:sdtContent>
            </w:sdt>
            <w:sdt>
              <w:sdtPr>
                <w:alias w:val="11 p."/>
                <w:tag w:val="part_0db163d50c08486aab5895bfe13aa55c"/>
                <w:lock w:val="sdtLocked"/>
                <w:richText/>
              </w:sdtPr>
              <w:sdtContent>
                <w:p>
                  <w:pPr>
                    <w:ind w:firstLine="680"/>
                    <w:jc w:val="both"/>
                    <w:rPr>
                      <w:szCs w:val="24"/>
                    </w:rPr>
                  </w:pPr>
                  <w:sdt>
                    <w:sdtPr>
                      <w:alias w:val="Numeris"/>
                      <w:tag w:val="nr_0db163d50c08486aab5895bfe13aa55c"/>
                      <w:lock w:val="sdtLocked"/>
                      <w:richText/>
                    </w:sdtPr>
                    <w:sdtContent>
                      <w:r>
                        <w:rPr>
                          <w:szCs w:val="24"/>
                        </w:rPr>
                        <w:t>11</w:t>
                      </w:r>
                    </w:sdtContent>
                  </w:sdt>
                  <w:r>
                    <w:rPr>
                      <w:szCs w:val="24"/>
                    </w:rPr>
                    <w:t>. Vienu metu dėl vieno asmens, kuriam paskirta bauda už administracinį nusižengimą, gali būti priimti ir (arba) vykdomi ne daugiau kaip trys Sprendimai.</w:t>
                  </w:r>
                </w:p>
              </w:sdtContent>
            </w:sdt>
            <w:sdt>
              <w:sdtPr>
                <w:alias w:val="12 p."/>
                <w:tag w:val="part_e062b8572e33457ab2fafb2a18bc356d"/>
                <w:lock w:val="sdtLocked"/>
                <w:richText/>
              </w:sdtPr>
              <w:sdtContent>
                <w:p>
                  <w:pPr>
                    <w:ind w:firstLine="680"/>
                    <w:jc w:val="both"/>
                    <w:rPr>
                      <w:szCs w:val="24"/>
                      <w:shd w:val="clear" w:color="auto" w:fill="FFFFFF"/>
                    </w:rPr>
                  </w:pPr>
                  <w:sdt>
                    <w:sdtPr>
                      <w:alias w:val="Numeris"/>
                      <w:tag w:val="nr_e062b8572e33457ab2fafb2a18bc356d"/>
                      <w:lock w:val="sdtLocked"/>
                      <w:richText/>
                    </w:sdtPr>
                    <w:sdtContent>
                      <w:r>
                        <w:rPr>
                          <w:szCs w:val="24"/>
                        </w:rPr>
                        <w:t>12</w:t>
                      </w:r>
                    </w:sdtContent>
                  </w:sdt>
                  <w:r>
                    <w:rPr>
                      <w:szCs w:val="24"/>
                    </w:rPr>
                    <w:t xml:space="preserve">. </w:t>
                  </w:r>
                  <w:r>
                    <w:rPr>
                      <w:szCs w:val="24"/>
                      <w:lang w:eastAsia="lt-LT"/>
                    </w:rPr>
                    <w:t xml:space="preserve">Mokestinės nepriemokos ar baudos už administracinį nusižengimą mokėjimas negali būti atidedamas ir (ar) išdėstomas, jei prašoma atidėti ir (ar) išdėstyti mokestinė nepriemoka ar išdėstyti bauda už administracinį nusižengimą yra perduota antstoliui išieškoti </w:t>
                  </w:r>
                  <w:r>
                    <w:rPr>
                      <w:szCs w:val="24"/>
                      <w:shd w:val="clear" w:color="auto" w:fill="FFFFFF"/>
                    </w:rPr>
                    <w:t>Lietuvos Respublikos civilinio proceso kodekso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13 p."/>
                <w:tag w:val="part_6d76545e6f9a48b9a82a7da8b90dbf3d"/>
                <w:lock w:val="sdtLocked"/>
                <w:richText/>
              </w:sdtPr>
              <w:sdtContent>
                <w:p>
                  <w:pPr>
                    <w:ind w:firstLine="680"/>
                    <w:jc w:val="both"/>
                    <w:rPr>
                      <w:szCs w:val="22"/>
                    </w:rPr>
                  </w:pPr>
                  <w:sdt>
                    <w:sdtPr>
                      <w:alias w:val="Numeris"/>
                      <w:tag w:val="nr_6d76545e6f9a48b9a82a7da8b90dbf3d"/>
                      <w:lock w:val="sdtLocked"/>
                      <w:richText/>
                    </w:sdtPr>
                    <w:sdtContent>
                      <w:r>
                        <w:rPr>
                          <w:szCs w:val="24"/>
                          <w:shd w:val="clear" w:color="auto" w:fill="FFFFFF"/>
                        </w:rPr>
                        <w:t>13</w:t>
                      </w:r>
                    </w:sdtContent>
                  </w:sdt>
                  <w:r>
                    <w:rPr>
                      <w:szCs w:val="24"/>
                      <w:shd w:val="clear" w:color="auto" w:fill="FFFFFF"/>
                    </w:rPr>
                    <w:t xml:space="preserve">. Jei kreipiamasi </w:t>
                  </w:r>
                  <w:r>
                    <w:rPr>
                      <w:szCs w:val="22"/>
                    </w:rPr>
                    <w:t>dėl mokėjimo atidėjimo ir (ar) išdėstymo tokios mokestinės nepriemokos ar baudos už administracinį nusižengimą, dėl kurios su mokėtoju buvo sudaryta Mokestinės paskolos sutartis ir kuri buvo nutraukta (išskyrus pagrindą, nurodytą Taisyklių 52.9 papunktyje) arba pasibaigė neįvykdyta, pakartotinai su mokėtoju Mokestinės paskolos sutartis dėl tokių prievolių mokėjimo atidėjimo ir (ar) išdėstymo negali būti sudaryta.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14 p."/>
                <w:tag w:val="part_ee2301e16f34407ab55f931cf3af3762"/>
                <w:lock w:val="sdtLocked"/>
                <w:richText/>
              </w:sdtPr>
              <w:sdtContent>
                <w:p>
                  <w:pPr>
                    <w:ind w:firstLine="680"/>
                    <w:jc w:val="both"/>
                    <w:rPr>
                      <w:rFonts w:eastAsia="SimSun"/>
                      <w:bCs/>
                      <w:kern w:val="3"/>
                      <w:szCs w:val="24"/>
                      <w:lang w:eastAsia="ar-SA"/>
                    </w:rPr>
                  </w:pPr>
                  <w:sdt>
                    <w:sdtPr>
                      <w:alias w:val="Numeris"/>
                      <w:tag w:val="nr_ee2301e16f34407ab55f931cf3af3762"/>
                      <w:lock w:val="sdtLocked"/>
                      <w:richText/>
                    </w:sdtPr>
                    <w:sdtContent>
                      <w:r>
                        <w:rPr>
                          <w:rFonts w:eastAsia="SimSun"/>
                          <w:bCs/>
                          <w:kern w:val="3"/>
                          <w:szCs w:val="24"/>
                          <w:lang w:eastAsia="ar-SA"/>
                        </w:rPr>
                        <w:t>14</w:t>
                      </w:r>
                    </w:sdtContent>
                  </w:sdt>
                  <w:r>
                    <w:rPr>
                      <w:rFonts w:eastAsia="SimSun"/>
                      <w:bCs/>
                      <w:kern w:val="3"/>
                      <w:szCs w:val="24"/>
                      <w:lang w:eastAsia="ar-SA"/>
                    </w:rPr>
                    <w:t xml:space="preserve">. Mokėtojas, pageidaujantis Mokestinės paskolos sutartį įvykdyti anksčiau nustatyto termino, apie tai prieš 5 darbo dienas </w:t>
                  </w:r>
                  <w:r>
                    <w:rPr>
                      <w:szCs w:val="24"/>
                      <w:lang w:eastAsia="ar-SA"/>
                    </w:rPr>
                    <w:t xml:space="preserve">raštu turi </w:t>
                  </w:r>
                  <w:r>
                    <w:rPr>
                      <w:rFonts w:eastAsia="SimSun"/>
                      <w:bCs/>
                      <w:kern w:val="3"/>
                      <w:szCs w:val="24"/>
                      <w:lang w:eastAsia="ar-SA"/>
                    </w:rPr>
                    <w:t>informuoti mokesčių administratorių kaip numatyta Taisyklių 25 punkte.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15 p."/>
                <w:tag w:val="part_ef84fd46e7c54902a4dc89fd7a02ea94"/>
                <w:lock w:val="sdtLocked"/>
                <w:richText/>
              </w:sdtPr>
              <w:sdtContent>
                <w:p>
                  <w:pPr>
                    <w:ind w:firstLine="680"/>
                    <w:jc w:val="both"/>
                    <w:rPr>
                      <w:szCs w:val="24"/>
                      <w:u w:val="single"/>
                      <w:lang w:val="en-US"/>
                    </w:rPr>
                  </w:pPr>
                  <w:sdt>
                    <w:sdtPr>
                      <w:alias w:val="Numeris"/>
                      <w:tag w:val="nr_ef84fd46e7c54902a4dc89fd7a02ea94"/>
                      <w:lock w:val="sdtLocked"/>
                      <w:richText/>
                    </w:sdtPr>
                    <w:sdtContent>
                      <w:r>
                        <w:rPr>
                          <w:rFonts w:eastAsia="SimSun"/>
                          <w:bCs/>
                          <w:kern w:val="3"/>
                          <w:szCs w:val="24"/>
                          <w:lang w:val="en-US" w:eastAsia="ar-SA"/>
                        </w:rPr>
                        <w:t>15</w:t>
                      </w:r>
                    </w:sdtContent>
                  </w:sdt>
                  <w:r>
                    <w:rPr>
                      <w:rFonts w:eastAsia="SimSun"/>
                      <w:bCs/>
                      <w:kern w:val="3"/>
                      <w:szCs w:val="24"/>
                      <w:lang w:val="en-US" w:eastAsia="ar-SA"/>
                    </w:rPr>
                    <w:t xml:space="preserve">. </w:t>
                  </w:r>
                  <w:r>
                    <w:rPr>
                      <w:szCs w:val="24"/>
                    </w:rPr>
                    <w:t>Mokesčių administratorius nesudaro Mokestinės paskolos sutarties su mokėtoju, jeigu atsiranda bent vienas iš Taisyklių</w:t>
                  </w:r>
                  <w:r>
                    <w:t xml:space="preserve"> 5</w:t>
                  </w:r>
                  <w:r>
                    <w:rPr>
                      <w:lang w:val="en-US"/>
                    </w:rPr>
                    <w:t>2</w:t>
                  </w:r>
                  <w:r>
                    <w:t>.2–</w:t>
                  </w:r>
                  <w:r>
                    <w:rPr>
                      <w:szCs w:val="24"/>
                    </w:rPr>
                    <w:t>52.</w:t>
                  </w:r>
                  <w:r>
                    <w:rPr>
                      <w:szCs w:val="24"/>
                      <w:lang w:val="en-US"/>
                    </w:rPr>
                    <w:t>8</w:t>
                  </w:r>
                  <w:r>
                    <w:rPr>
                      <w:szCs w:val="24"/>
                    </w:rPr>
                    <w:t xml:space="preserve"> papunkčiuose nurodytų pagrindų.</w:t>
                  </w:r>
                </w:p>
                <w:p>
                  <w:pPr>
                    <w:ind w:firstLine="680"/>
                    <w:jc w:val="both"/>
                    <w:rPr>
                      <w:szCs w:val="24"/>
                      <w:shd w:val="clear" w:color="auto" w:fill="FFFFFF"/>
                    </w:rPr>
                  </w:pPr>
                </w:p>
              </w:sdtContent>
            </w:sdt>
          </w:sdtContent>
        </w:sdt>
        <w:sdt>
          <w:sdtPr>
            <w:alias w:val="skyrius"/>
            <w:tag w:val="part_bd137fac4b614d6b819abc7efc8796e1"/>
            <w:lock w:val="sdtLocked"/>
            <w:richText/>
          </w:sdtPr>
          <w:sdtContent>
            <w:p>
              <w:pPr>
                <w:jc w:val="center"/>
                <w:rPr>
                  <w:b/>
                  <w:szCs w:val="24"/>
                </w:rPr>
              </w:pPr>
              <w:sdt>
                <w:sdtPr>
                  <w:alias w:val="Numeris"/>
                  <w:tag w:val="nr_bd137fac4b614d6b819abc7efc8796e1"/>
                  <w:lock w:val="sdtLocked"/>
                  <w:richText/>
                </w:sdtPr>
                <w:sdtContent>
                  <w:r>
                    <w:rPr>
                      <w:b/>
                      <w:szCs w:val="24"/>
                    </w:rPr>
                    <w:t>II</w:t>
                  </w:r>
                </w:sdtContent>
              </w:sdt>
              <w:r>
                <w:rPr>
                  <w:b/>
                  <w:szCs w:val="24"/>
                </w:rPr>
                <w:t xml:space="preserve"> SKYRIUS</w:t>
              </w:r>
            </w:p>
            <w:p>
              <w:pPr>
                <w:jc w:val="center"/>
                <w:rPr>
                  <w:b/>
                  <w:szCs w:val="24"/>
                </w:rPr>
              </w:pPr>
              <w:sdt>
                <w:sdtPr>
                  <w:alias w:val="Pavadinimas"/>
                  <w:tag w:val="title_bd137fac4b614d6b819abc7efc8796e1"/>
                  <w:lock w:val="sdtLocked"/>
                  <w:richText/>
                </w:sdtPr>
                <w:sdtContent>
                  <w:r>
                    <w:rPr>
                      <w:b/>
                      <w:szCs w:val="24"/>
                    </w:rPr>
                    <w:t>PRAŠYMO PATEIKIMO TVARKA</w:t>
                  </w:r>
                </w:sdtContent>
              </w:sdt>
            </w:p>
            <w:p>
              <w:pPr>
                <w:ind w:firstLine="680"/>
                <w:jc w:val="center"/>
                <w:rPr>
                  <w:szCs w:val="24"/>
                </w:rPr>
              </w:pPr>
            </w:p>
            <w:sdt>
              <w:sdtPr>
                <w:alias w:val="16 p."/>
                <w:tag w:val="part_3cdb1224bd1b4bce89e375f922100d00"/>
                <w:lock w:val="sdtLocked"/>
                <w:richText/>
              </w:sdtPr>
              <w:sdtContent>
                <w:p>
                  <w:pPr>
                    <w:ind w:firstLine="680"/>
                    <w:jc w:val="both"/>
                    <w:rPr>
                      <w:szCs w:val="24"/>
                    </w:rPr>
                  </w:pPr>
                  <w:sdt>
                    <w:sdtPr>
                      <w:alias w:val="Numeris"/>
                      <w:tag w:val="nr_3cdb1224bd1b4bce89e375f922100d00"/>
                      <w:lock w:val="sdtLocked"/>
                      <w:richText/>
                    </w:sdtPr>
                    <w:sdtContent>
                      <w:r>
                        <w:rPr>
                          <w:szCs w:val="24"/>
                        </w:rPr>
                        <w:t>16</w:t>
                      </w:r>
                    </w:sdtContent>
                  </w:sdt>
                  <w:r>
                    <w:rPr>
                      <w:szCs w:val="24"/>
                    </w:rPr>
                    <w:t xml:space="preserve">. Tuo atveju, jeigu pagal vėliausio pasibaigusio mokestinio laikotarpio mokesčių administratoriui pateiktos mokesčio deklaracijos duomenis arba mokesčių administratoriaus Sprendimo dėl patikrinimo akto tvirtinimo, kurio forma FR0682 patvirtinta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gegužės 10 d. įsakymu Nr. VA-90 „</w:t>
                  </w:r>
                  <w:r>
                    <w:rPr>
                      <w:bCs/>
                      <w:szCs w:val="24"/>
                    </w:rPr>
                    <w:t>Dėl Pranešimo apie mokestinį patikrinimą, patikrinimo akto, patikrinimo pažymos ir sprendimo dėl patikrinimo akto tvirtinimo formų bei šių formų užpildymo taisyklių patvirtinimo“</w:t>
                  </w:r>
                  <w:r>
                    <w:rPr>
                      <w:szCs w:val="24"/>
                    </w:rPr>
                    <w:t xml:space="preserve">, pagal kurį mokesčių mokėtojui naujai apskaičiuojamas ir nurodomas sumokėti mokestis ir (arba) su juo susijusios sumos, duomenis, suėjus atitinkamoje deklaracijoje arba šiame sprendime nurodytos mokestinės prievolės įvykdymo terminui, susidarys mokestinė nepriemoka, mokesčių mokėtojas gali pateikti Prašymą atidėti ir (ar) išdėstyti mokestinės nepriemokos mokėjimą, kol ji dar nesusidarė, bet ne anksčiau kaip prieš 20 kalendorinių dienų iki jai susidarant, </w:t>
                  </w:r>
                  <w:r>
                    <w:rPr>
                      <w:rFonts w:eastAsia="SimSun"/>
                      <w:bCs/>
                      <w:kern w:val="3"/>
                      <w:szCs w:val="24"/>
                      <w:lang w:eastAsia="ar-SA"/>
                    </w:rPr>
                    <w:t>Taisyklių 25 punkte nustatytais būdais</w:t>
                  </w:r>
                  <w:r>
                    <w:rPr>
                      <w:szCs w:val="24"/>
                    </w:rPr>
                    <w:t xml:space="preserve">. Prašymas išdėstyti baudos už administracinį nusižengimą mokėjimą gali būti pateiktas po nutarimo, kuriuo paskirta bauda, priėmimo dienos, bet ne anksčiau kaip prieš 20 kalendorinių dienų iki mokėjimo termino, numatyto </w:t>
                  </w:r>
                  <w:r>
                    <w:rPr>
                      <w:iCs/>
                      <w:szCs w:val="24"/>
                    </w:rPr>
                    <w:t xml:space="preserve">ANK </w:t>
                  </w:r>
                  <w:r>
                    <w:rPr>
                      <w:szCs w:val="24"/>
                    </w:rPr>
                    <w:t xml:space="preserve">675 straipsnio 2 dalyje, pabaigos. </w:t>
                  </w:r>
                </w:p>
              </w:sdtContent>
            </w:sdt>
            <w:sdt>
              <w:sdtPr>
                <w:alias w:val="17 p."/>
                <w:tag w:val="part_cc80caca9ea74c028daf25ed365509bc"/>
                <w:lock w:val="sdtLocked"/>
                <w:richText/>
              </w:sdtPr>
              <w:sdtContent>
                <w:p>
                  <w:pPr>
                    <w:ind w:firstLine="680"/>
                    <w:jc w:val="both"/>
                    <w:rPr>
                      <w:szCs w:val="24"/>
                    </w:rPr>
                  </w:pPr>
                  <w:sdt>
                    <w:sdtPr>
                      <w:alias w:val="Numeris"/>
                      <w:tag w:val="nr_cc80caca9ea74c028daf25ed365509bc"/>
                      <w:lock w:val="sdtLocked"/>
                      <w:richText/>
                    </w:sdtPr>
                    <w:sdtContent>
                      <w:r>
                        <w:rPr>
                          <w:szCs w:val="24"/>
                        </w:rPr>
                        <w:t>17</w:t>
                      </w:r>
                    </w:sdtContent>
                  </w:sdt>
                  <w:r>
                    <w:rPr>
                      <w:szCs w:val="24"/>
                    </w:rPr>
                    <w:t>. Prašyme išdėstyti baudos už administracinį nusižengimą mokėjimą turi būti nurodyta:</w:t>
                  </w:r>
                </w:p>
                <w:sdt>
                  <w:sdtPr>
                    <w:alias w:val="17.1 pp."/>
                    <w:tag w:val="part_00fff73996b24a1c9ceb63123639b6b8"/>
                    <w:lock w:val="sdtLocked"/>
                    <w:richText/>
                  </w:sdtPr>
                  <w:sdtContent>
                    <w:p>
                      <w:pPr>
                        <w:tabs>
                          <w:tab w:val="left" w:pos="1276"/>
                          <w:tab w:val="left" w:pos="1418"/>
                          <w:tab w:val="left" w:pos="1843"/>
                          <w:tab w:val="left" w:pos="5529"/>
                        </w:tabs>
                        <w:ind w:firstLine="709"/>
                        <w:jc w:val="both"/>
                        <w:rPr>
                          <w:szCs w:val="24"/>
                          <w:lang w:eastAsia="lt-LT"/>
                        </w:rPr>
                      </w:pPr>
                      <w:sdt>
                        <w:sdtPr>
                          <w:alias w:val="Numeris"/>
                          <w:tag w:val="nr_00fff73996b24a1c9ceb63123639b6b8"/>
                          <w:lock w:val="sdtLocked"/>
                          <w:richText/>
                        </w:sdtPr>
                        <w:sdtContent>
                          <w:r>
                            <w:rPr>
                              <w:szCs w:val="24"/>
                              <w:lang w:val="en-US"/>
                            </w:rPr>
                            <w:t>17.1</w:t>
                          </w:r>
                        </w:sdtContent>
                      </w:sdt>
                      <w:r>
                        <w:rPr>
                          <w:szCs w:val="24"/>
                          <w:lang w:val="en-US"/>
                        </w:rPr>
                        <w:t xml:space="preserve">. </w:t>
                      </w:r>
                      <w:r>
                        <w:rPr>
                          <w:szCs w:val="24"/>
                        </w:rPr>
                        <w:t xml:space="preserve">mokesčių mokėtojo pavadinimas,  identifikacinis numeris (kodas) / vardas ir pavardė, identifikacinis numeris (asmens kodas) bei </w:t>
                      </w:r>
                      <w:r>
                        <w:rPr>
                          <w:szCs w:val="24"/>
                          <w:lang w:eastAsia="lt-LT"/>
                        </w:rPr>
                        <w:t>kontaktinė informacija ryšiui su mokesčių mokėtoju palaikyti (telefono numeris, elektroninio pašto adresas, buveinės / gyvenamosios vietos adresas);</w:t>
                      </w:r>
                    </w:p>
                  </w:sdtContent>
                </w:sdt>
                <w:sdt>
                  <w:sdtPr>
                    <w:alias w:val="17.2 pp."/>
                    <w:tag w:val="part_7423c5c580a64f99af6d5785b573dafd"/>
                    <w:lock w:val="sdtLocked"/>
                    <w:richText/>
                  </w:sdtPr>
                  <w:sdtContent>
                    <w:p>
                      <w:pPr>
                        <w:ind w:firstLine="680"/>
                        <w:jc w:val="both"/>
                        <w:rPr>
                          <w:szCs w:val="24"/>
                        </w:rPr>
                      </w:pPr>
                      <w:sdt>
                        <w:sdtPr>
                          <w:alias w:val="Numeris"/>
                          <w:tag w:val="nr_7423c5c580a64f99af6d5785b573dafd"/>
                          <w:lock w:val="sdtLocked"/>
                          <w:richText/>
                        </w:sdtPr>
                        <w:sdtContent>
                          <w:r>
                            <w:rPr>
                              <w:szCs w:val="24"/>
                            </w:rPr>
                            <w:t>17.</w:t>
                          </w:r>
                          <w:r>
                            <w:rPr>
                              <w:szCs w:val="24"/>
                              <w:lang w:val="en-US"/>
                            </w:rPr>
                            <w:t>2</w:t>
                          </w:r>
                        </w:sdtContent>
                      </w:sdt>
                      <w:r>
                        <w:rPr>
                          <w:szCs w:val="24"/>
                        </w:rPr>
                        <w:t xml:space="preserve">. baudos už administracinį nusižengimą dydis; </w:t>
                      </w:r>
                    </w:p>
                  </w:sdtContent>
                </w:sdt>
                <w:sdt>
                  <w:sdtPr>
                    <w:alias w:val="17.3 pp."/>
                    <w:tag w:val="part_a50e3e30f2b84afebf354a7d9a87ee3b"/>
                    <w:lock w:val="sdtLocked"/>
                    <w:richText/>
                  </w:sdtPr>
                  <w:sdtContent>
                    <w:p>
                      <w:pPr>
                        <w:ind w:firstLine="680"/>
                        <w:jc w:val="both"/>
                        <w:rPr>
                          <w:szCs w:val="24"/>
                        </w:rPr>
                      </w:pPr>
                      <w:sdt>
                        <w:sdtPr>
                          <w:alias w:val="Numeris"/>
                          <w:tag w:val="nr_a50e3e30f2b84afebf354a7d9a87ee3b"/>
                          <w:lock w:val="sdtLocked"/>
                          <w:richText/>
                        </w:sdtPr>
                        <w:sdtContent>
                          <w:r>
                            <w:rPr>
                              <w:szCs w:val="24"/>
                            </w:rPr>
                            <w:t>17.3</w:t>
                          </w:r>
                        </w:sdtContent>
                      </w:sdt>
                      <w:r>
                        <w:rPr>
                          <w:szCs w:val="24"/>
                        </w:rPr>
                        <w:t xml:space="preserve">. </w:t>
                      </w:r>
                      <w:r>
                        <w:rPr>
                          <w:szCs w:val="24"/>
                          <w:shd w:val="clear" w:color="auto" w:fill="FFFFFF"/>
                        </w:rPr>
                        <w:t>nusižengimo identifikacinis kodas</w:t>
                      </w:r>
                      <w:r>
                        <w:rPr>
                          <w:rFonts w:ascii="Arial" w:hAnsi="Arial" w:cs="Arial"/>
                          <w:sz w:val="21"/>
                          <w:szCs w:val="21"/>
                          <w:shd w:val="clear" w:color="auto" w:fill="FFFFFF"/>
                        </w:rPr>
                        <w:t xml:space="preserve"> </w:t>
                      </w:r>
                      <w:r>
                        <w:rPr>
                          <w:szCs w:val="24"/>
                          <w:shd w:val="clear" w:color="auto" w:fill="FFFFFF"/>
                        </w:rPr>
                        <w:t>(</w:t>
                      </w:r>
                      <w:r>
                        <w:rPr>
                          <w:bCs/>
                          <w:szCs w:val="24"/>
                          <w:shd w:val="clear" w:color="auto" w:fill="FFFFFF"/>
                        </w:rPr>
                        <w:t>ROIK</w:t>
                      </w:r>
                      <w:r>
                        <w:rPr>
                          <w:szCs w:val="24"/>
                          <w:shd w:val="clear" w:color="auto" w:fill="FFFFFF"/>
                        </w:rPr>
                        <w:t>)</w:t>
                      </w:r>
                      <w:r>
                        <w:rPr>
                          <w:szCs w:val="24"/>
                        </w:rPr>
                        <w:t xml:space="preserve">; </w:t>
                      </w:r>
                    </w:p>
                  </w:sdtContent>
                </w:sdt>
                <w:sdt>
                  <w:sdtPr>
                    <w:alias w:val="17.4 pp."/>
                    <w:tag w:val="part_c8dbd89545bd4889a8cfd27a129b6033"/>
                    <w:lock w:val="sdtLocked"/>
                    <w:richText/>
                  </w:sdtPr>
                  <w:sdtContent>
                    <w:p>
                      <w:pPr>
                        <w:ind w:firstLine="709"/>
                        <w:jc w:val="both"/>
                        <w:rPr>
                          <w:szCs w:val="24"/>
                        </w:rPr>
                      </w:pPr>
                      <w:sdt>
                        <w:sdtPr>
                          <w:alias w:val="Numeris"/>
                          <w:tag w:val="nr_c8dbd89545bd4889a8cfd27a129b6033"/>
                          <w:lock w:val="sdtLocked"/>
                          <w:richText/>
                        </w:sdtPr>
                        <w:sdtContent>
                          <w:r>
                            <w:rPr>
                              <w:szCs w:val="24"/>
                            </w:rPr>
                            <w:t>17.4</w:t>
                          </w:r>
                        </w:sdtContent>
                      </w:sdt>
                      <w:r>
                        <w:rPr>
                          <w:szCs w:val="24"/>
                        </w:rPr>
                        <w:t>. laikotarpis, kuriam prašoma išdėstyti baudos už administracinį nusižengimą mokėjimą;</w:t>
                      </w:r>
                    </w:p>
                  </w:sdtContent>
                </w:sdt>
                <w:sdt>
                  <w:sdtPr>
                    <w:alias w:val="17.5 pp."/>
                    <w:tag w:val="part_e4b3950df44b4b0696fe99f567c1f055"/>
                    <w:lock w:val="sdtLocked"/>
                    <w:richText/>
                  </w:sdtPr>
                  <w:sdtContent>
                    <w:p>
                      <w:pPr>
                        <w:ind w:firstLine="680"/>
                        <w:jc w:val="both"/>
                        <w:rPr>
                          <w:szCs w:val="24"/>
                        </w:rPr>
                      </w:pPr>
                      <w:sdt>
                        <w:sdtPr>
                          <w:alias w:val="Numeris"/>
                          <w:tag w:val="nr_e4b3950df44b4b0696fe99f567c1f055"/>
                          <w:lock w:val="sdtLocked"/>
                          <w:richText/>
                        </w:sdtPr>
                        <w:sdtContent>
                          <w:r>
                            <w:rPr>
                              <w:szCs w:val="24"/>
                            </w:rPr>
                            <w:t>17.5</w:t>
                          </w:r>
                        </w:sdtContent>
                      </w:sdt>
                      <w:r>
                        <w:rPr>
                          <w:szCs w:val="24"/>
                        </w:rPr>
                        <w:t>. šio prašymo teikimo priežastys.</w:t>
                      </w:r>
                    </w:p>
                  </w:sdtContent>
                </w:sdt>
              </w:sdtContent>
            </w:sdt>
            <w:sdt>
              <w:sdtPr>
                <w:alias w:val="18 p."/>
                <w:tag w:val="part_dc4fbc05bcf44d67bd9457167c943aa6"/>
                <w:lock w:val="sdtLocked"/>
                <w:richText/>
              </w:sdtPr>
              <w:sdtContent>
                <w:p>
                  <w:pPr>
                    <w:ind w:firstLine="680"/>
                    <w:jc w:val="both"/>
                    <w:rPr>
                      <w:szCs w:val="24"/>
                    </w:rPr>
                  </w:pPr>
                  <w:sdt>
                    <w:sdtPr>
                      <w:alias w:val="Numeris"/>
                      <w:tag w:val="nr_dc4fbc05bcf44d67bd9457167c943aa6"/>
                      <w:lock w:val="sdtLocked"/>
                      <w:richText/>
                    </w:sdtPr>
                    <w:sdtContent>
                      <w:r>
                        <w:rPr>
                          <w:szCs w:val="24"/>
                        </w:rPr>
                        <w:t>18</w:t>
                      </w:r>
                    </w:sdtContent>
                  </w:sdt>
                  <w:r>
                    <w:rPr>
                      <w:szCs w:val="24"/>
                    </w:rPr>
                    <w:t>. Prašyme atidėti ir (ar) išdėstyti mokestinės nepriemokos mokėjimą turi būti nurodyta:</w:t>
                  </w:r>
                </w:p>
                <w:sdt>
                  <w:sdtPr>
                    <w:alias w:val="18.1 pp."/>
                    <w:tag w:val="part_b850a0517e5049d29ff22b03805a353e"/>
                    <w:lock w:val="sdtLocked"/>
                    <w:richText/>
                  </w:sdtPr>
                  <w:sdtContent>
                    <w:p>
                      <w:pPr>
                        <w:ind w:firstLine="680"/>
                        <w:jc w:val="both"/>
                        <w:rPr>
                          <w:szCs w:val="24"/>
                        </w:rPr>
                      </w:pPr>
                      <w:sdt>
                        <w:sdtPr>
                          <w:alias w:val="Numeris"/>
                          <w:tag w:val="nr_b850a0517e5049d29ff22b03805a353e"/>
                          <w:lock w:val="sdtLocked"/>
                          <w:richText/>
                        </w:sdtPr>
                        <w:sdtContent>
                          <w:r>
                            <w:rPr>
                              <w:szCs w:val="24"/>
                            </w:rPr>
                            <w:t>18.1</w:t>
                          </w:r>
                        </w:sdtContent>
                      </w:sdt>
                      <w:r>
                        <w:rPr>
                          <w:szCs w:val="24"/>
                        </w:rPr>
                        <w:t xml:space="preserve">. mokesčių mokėtojo pavadinimas,  identifikacinis numeris (kodas) / vardas ir pavardė, identifikacinis numeris (asmens kodas) bei </w:t>
                      </w:r>
                      <w:r>
                        <w:rPr>
                          <w:szCs w:val="24"/>
                          <w:lang w:eastAsia="lt-LT"/>
                        </w:rPr>
                        <w:t xml:space="preserve">kontaktinė informacija ryšiui su mokesčių mokėtoju palaikyti (telefono numeris, elektroninio pašto adresas, buveinės / gyvenamosios vietos adresas); </w:t>
                      </w:r>
                    </w:p>
                  </w:sdtContent>
                </w:sdt>
                <w:sdt>
                  <w:sdtPr>
                    <w:alias w:val="18.2 pp."/>
                    <w:tag w:val="part_607dadd250084c8383049405bebecc67"/>
                    <w:lock w:val="sdtLocked"/>
                    <w:richText/>
                  </w:sdtPr>
                  <w:sdtContent>
                    <w:p>
                      <w:pPr>
                        <w:ind w:firstLine="680"/>
                        <w:jc w:val="both"/>
                        <w:rPr>
                          <w:szCs w:val="24"/>
                        </w:rPr>
                      </w:pPr>
                      <w:sdt>
                        <w:sdtPr>
                          <w:alias w:val="Numeris"/>
                          <w:tag w:val="nr_607dadd250084c8383049405bebecc67"/>
                          <w:lock w:val="sdtLocked"/>
                          <w:richText/>
                        </w:sdtPr>
                        <w:sdtContent>
                          <w:r>
                            <w:rPr>
                              <w:szCs w:val="24"/>
                            </w:rPr>
                            <w:t>18.</w:t>
                          </w:r>
                          <w:r>
                            <w:rPr>
                              <w:szCs w:val="24"/>
                              <w:lang w:val="en-US"/>
                            </w:rPr>
                            <w:t>2</w:t>
                          </w:r>
                        </w:sdtContent>
                      </w:sdt>
                      <w:r>
                        <w:rPr>
                          <w:szCs w:val="24"/>
                        </w:rPr>
                        <w:t>. įsiskolinimo priežastys;</w:t>
                      </w:r>
                    </w:p>
                  </w:sdtContent>
                </w:sdt>
                <w:sdt>
                  <w:sdtPr>
                    <w:alias w:val="18.3 pp."/>
                    <w:tag w:val="part_5799f2f02e834de3b5aed79e8245bb5b"/>
                    <w:lock w:val="sdtLocked"/>
                    <w:richText/>
                  </w:sdtPr>
                  <w:sdtContent>
                    <w:p>
                      <w:pPr>
                        <w:ind w:firstLine="680"/>
                        <w:jc w:val="both"/>
                        <w:rPr>
                          <w:szCs w:val="24"/>
                        </w:rPr>
                      </w:pPr>
                      <w:sdt>
                        <w:sdtPr>
                          <w:alias w:val="Numeris"/>
                          <w:tag w:val="nr_5799f2f02e834de3b5aed79e8245bb5b"/>
                          <w:lock w:val="sdtLocked"/>
                          <w:richText/>
                        </w:sdtPr>
                        <w:sdtContent>
                          <w:r>
                            <w:rPr>
                              <w:szCs w:val="24"/>
                            </w:rPr>
                            <w:t>18.3</w:t>
                          </w:r>
                        </w:sdtContent>
                      </w:sdt>
                      <w:r>
                        <w:rPr>
                          <w:szCs w:val="24"/>
                        </w:rPr>
                        <w:t>. informacija apie įsiskolinimus kitiems kreditoriams;</w:t>
                      </w:r>
                    </w:p>
                  </w:sdtContent>
                </w:sdt>
                <w:sdt>
                  <w:sdtPr>
                    <w:alias w:val="18.4 pp."/>
                    <w:tag w:val="part_6994fde7ee684da4a990a895384b7956"/>
                    <w:lock w:val="sdtLocked"/>
                    <w:richText/>
                  </w:sdtPr>
                  <w:sdtContent>
                    <w:p>
                      <w:pPr>
                        <w:ind w:firstLine="680"/>
                        <w:jc w:val="both"/>
                        <w:rPr>
                          <w:szCs w:val="24"/>
                        </w:rPr>
                      </w:pPr>
                      <w:sdt>
                        <w:sdtPr>
                          <w:alias w:val="Numeris"/>
                          <w:tag w:val="nr_6994fde7ee684da4a990a895384b7956"/>
                          <w:lock w:val="sdtLocked"/>
                          <w:richText/>
                        </w:sdtPr>
                        <w:sdtContent>
                          <w:r>
                            <w:rPr>
                              <w:szCs w:val="24"/>
                            </w:rPr>
                            <w:t>18.4</w:t>
                          </w:r>
                        </w:sdtContent>
                      </w:sdt>
                      <w:r>
                        <w:rPr>
                          <w:szCs w:val="24"/>
                        </w:rPr>
                        <w:t>. laikotarpis, kuriam prašoma atidėti ir (ar) išdėstyti mokestinės nepriemokos mokėjimo terminą, arba pageidaujamas atsiskaitymo pagal Mokestinės paskolos sutartį grafikas;</w:t>
                      </w:r>
                    </w:p>
                  </w:sdtContent>
                </w:sdt>
                <w:sdt>
                  <w:sdtPr>
                    <w:alias w:val="18.5 pp."/>
                    <w:tag w:val="part_b2ef00b9c6e94aedb670b5a8d4ec697d"/>
                    <w:lock w:val="sdtLocked"/>
                    <w:richText/>
                  </w:sdtPr>
                  <w:sdtContent>
                    <w:p>
                      <w:pPr>
                        <w:ind w:firstLine="680"/>
                        <w:jc w:val="both"/>
                        <w:rPr>
                          <w:szCs w:val="24"/>
                        </w:rPr>
                      </w:pPr>
                      <w:sdt>
                        <w:sdtPr>
                          <w:alias w:val="Numeris"/>
                          <w:tag w:val="nr_b2ef00b9c6e94aedb670b5a8d4ec697d"/>
                          <w:lock w:val="sdtLocked"/>
                          <w:richText/>
                        </w:sdtPr>
                        <w:sdtContent>
                          <w:r>
                            <w:rPr>
                              <w:szCs w:val="24"/>
                            </w:rPr>
                            <w:t>18.5</w:t>
                          </w:r>
                        </w:sdtContent>
                      </w:sdt>
                      <w:r>
                        <w:rPr>
                          <w:szCs w:val="24"/>
                        </w:rPr>
                        <w:t xml:space="preserve">. mokestinės nepriemokos, kurios mokėjimą prašoma atidėti ir (ar) išdėstyti, dydis, t. y. prašomų atidėti ir (ar) išdėstyti mokesčių sumos (atskirai pagal kiekvieną mokestį), baudų ir kiekvieno mokesčio delspinigių sumos; </w:t>
                      </w:r>
                    </w:p>
                  </w:sdtContent>
                </w:sdt>
                <w:sdt>
                  <w:sdtPr>
                    <w:alias w:val="18.6 pp."/>
                    <w:tag w:val="part_5bf94148fd744db692822d50aa2d4c9c"/>
                    <w:lock w:val="sdtLocked"/>
                    <w:richText/>
                  </w:sdtPr>
                  <w:sdtContent>
                    <w:p>
                      <w:pPr>
                        <w:ind w:firstLine="680"/>
                        <w:jc w:val="both"/>
                        <w:rPr>
                          <w:szCs w:val="24"/>
                        </w:rPr>
                      </w:pPr>
                      <w:sdt>
                        <w:sdtPr>
                          <w:alias w:val="Numeris"/>
                          <w:tag w:val="nr_5bf94148fd744db692822d50aa2d4c9c"/>
                          <w:lock w:val="sdtLocked"/>
                          <w:richText/>
                        </w:sdtPr>
                        <w:sdtContent>
                          <w:r>
                            <w:rPr>
                              <w:szCs w:val="24"/>
                            </w:rPr>
                            <w:t>18.6</w:t>
                          </w:r>
                        </w:sdtContent>
                      </w:sdt>
                      <w:r>
                        <w:rPr>
                          <w:szCs w:val="24"/>
                        </w:rPr>
                        <w:t>. prašomas taikyti mokestinės nepriemokos mokėjimo būdas (atidėti ir (ar) išdėstyti mokėjimą) ir tokio būdo pasirinkimo motyvai;</w:t>
                      </w:r>
                    </w:p>
                  </w:sdtContent>
                </w:sdt>
                <w:sdt>
                  <w:sdtPr>
                    <w:alias w:val="18.7 pp."/>
                    <w:tag w:val="part_e32911dbe8ac421d9ed8477f8dd5a352"/>
                    <w:lock w:val="sdtLocked"/>
                    <w:richText/>
                  </w:sdtPr>
                  <w:sdtContent>
                    <w:p>
                      <w:pPr>
                        <w:ind w:firstLine="680"/>
                        <w:jc w:val="both"/>
                        <w:rPr>
                          <w:szCs w:val="24"/>
                        </w:rPr>
                      </w:pPr>
                      <w:sdt>
                        <w:sdtPr>
                          <w:alias w:val="Numeris"/>
                          <w:tag w:val="nr_e32911dbe8ac421d9ed8477f8dd5a352"/>
                          <w:lock w:val="sdtLocked"/>
                          <w:richText/>
                        </w:sdtPr>
                        <w:sdtContent>
                          <w:r>
                            <w:rPr>
                              <w:szCs w:val="24"/>
                            </w:rPr>
                            <w:t>18.7</w:t>
                          </w:r>
                        </w:sdtContent>
                      </w:sdt>
                      <w:r>
                        <w:rPr>
                          <w:szCs w:val="24"/>
                        </w:rPr>
                        <w:t>. patvirtinimas, kad neturi susijusių įmonių, kurios sudaro Vieną įmonę, kaip yra apibrėžta Taisyklių 3.7 papunktyje.</w:t>
                      </w:r>
                    </w:p>
                  </w:sdtContent>
                </w:sdt>
              </w:sdtContent>
            </w:sdt>
            <w:sdt>
              <w:sdtPr>
                <w:alias w:val="19 p."/>
                <w:tag w:val="part_fb597720b9c6427988780e104b8baa32"/>
                <w:lock w:val="sdtLocked"/>
                <w:richText/>
              </w:sdtPr>
              <w:sdtContent>
                <w:p>
                  <w:pPr>
                    <w:ind w:firstLine="680"/>
                    <w:jc w:val="both"/>
                    <w:rPr>
                      <w:rFonts w:eastAsia="Calibri"/>
                      <w:szCs w:val="24"/>
                    </w:rPr>
                  </w:pPr>
                  <w:sdt>
                    <w:sdtPr>
                      <w:alias w:val="Numeris"/>
                      <w:tag w:val="nr_fb597720b9c6427988780e104b8baa32"/>
                      <w:lock w:val="sdtLocked"/>
                      <w:richText/>
                    </w:sdtPr>
                    <w:sdtContent>
                      <w:r>
                        <w:rPr>
                          <w:rFonts w:eastAsia="Calibri"/>
                          <w:szCs w:val="24"/>
                        </w:rPr>
                        <w:t>19</w:t>
                      </w:r>
                    </w:sdtContent>
                  </w:sdt>
                  <w:r>
                    <w:rPr>
                      <w:rFonts w:eastAsia="Calibri"/>
                      <w:szCs w:val="24"/>
                    </w:rPr>
                    <w:t xml:space="preserve">. Kartu su Prašymu </w:t>
                  </w:r>
                  <w:r>
                    <w:rPr>
                      <w:szCs w:val="24"/>
                    </w:rPr>
                    <w:t xml:space="preserve">atidėti ir (ar) išdėstyti mokestinės nepriemokos mokėjimą </w:t>
                  </w:r>
                  <w:r>
                    <w:rPr>
                      <w:rFonts w:eastAsia="Calibri"/>
                      <w:szCs w:val="24"/>
                    </w:rPr>
                    <w:t>mokėtojas turi pateikti šiam prašymui nagrinėti reikalingus dokumentus:</w:t>
                  </w:r>
                </w:p>
                <w:sdt>
                  <w:sdtPr>
                    <w:alias w:val="19.1 pp."/>
                    <w:tag w:val="part_68db9ca326a8471c8b0a72ad7d608db4"/>
                    <w:lock w:val="sdtLocked"/>
                    <w:richText/>
                  </w:sdtPr>
                  <w:sdtContent>
                    <w:p>
                      <w:pPr>
                        <w:ind w:firstLine="680"/>
                        <w:jc w:val="both"/>
                        <w:rPr>
                          <w:rFonts w:eastAsia="Calibri"/>
                          <w:szCs w:val="24"/>
                        </w:rPr>
                      </w:pPr>
                      <w:sdt>
                        <w:sdtPr>
                          <w:alias w:val="Numeris"/>
                          <w:tag w:val="nr_68db9ca326a8471c8b0a72ad7d608db4"/>
                          <w:lock w:val="sdtLocked"/>
                          <w:richText/>
                        </w:sdtPr>
                        <w:sdtContent>
                          <w:r>
                            <w:rPr>
                              <w:rFonts w:eastAsia="Calibri"/>
                              <w:szCs w:val="24"/>
                            </w:rPr>
                            <w:t>19.1</w:t>
                          </w:r>
                        </w:sdtContent>
                      </w:sdt>
                      <w:r>
                        <w:rPr>
                          <w:rFonts w:eastAsia="Calibri"/>
                          <w:szCs w:val="24"/>
                        </w:rPr>
                        <w:t>. mokesčių mokėtojas –</w:t>
                      </w:r>
                      <w:r>
                        <w:rPr>
                          <w:rFonts w:eastAsia="Calibri"/>
                        </w:rPr>
                        <w:t xml:space="preserve"> </w:t>
                      </w:r>
                      <w:r>
                        <w:rPr>
                          <w:rFonts w:eastAsia="Calibri"/>
                          <w:szCs w:val="24"/>
                        </w:rPr>
                        <w:t>juridinis asmuo –</w:t>
                      </w:r>
                      <w:r>
                        <w:rPr>
                          <w:rFonts w:eastAsia="Calibri"/>
                        </w:rPr>
                        <w:t xml:space="preserve"> </w:t>
                      </w:r>
                      <w:r>
                        <w:rPr>
                          <w:rFonts w:eastAsia="Calibri"/>
                          <w:szCs w:val="24"/>
                        </w:rPr>
                        <w:t xml:space="preserve">pateikia: </w:t>
                      </w:r>
                    </w:p>
                    <w:sdt>
                      <w:sdtPr>
                        <w:alias w:val="19.1.1 pp."/>
                        <w:tag w:val="part_7dfc088cc75c4f448a77bd8bf7c32e36"/>
                        <w:lock w:val="sdtLocked"/>
                        <w:richText/>
                      </w:sdtPr>
                      <w:sdtContent>
                        <w:p>
                          <w:pPr>
                            <w:ind w:firstLine="680"/>
                            <w:jc w:val="both"/>
                            <w:rPr>
                              <w:rFonts w:eastAsia="Calibri"/>
                              <w:szCs w:val="24"/>
                              <w:lang w:eastAsia="lt-LT"/>
                            </w:rPr>
                          </w:pPr>
                          <w:sdt>
                            <w:sdtPr>
                              <w:alias w:val="Numeris"/>
                              <w:tag w:val="nr_7dfc088cc75c4f448a77bd8bf7c32e36"/>
                              <w:lock w:val="sdtLocked"/>
                              <w:richText/>
                            </w:sdtPr>
                            <w:sdtContent>
                              <w:r>
                                <w:rPr>
                                  <w:rFonts w:eastAsia="Calibri"/>
                                  <w:szCs w:val="24"/>
                                  <w:lang w:eastAsia="lt-LT"/>
                                </w:rPr>
                                <w:t>19.1.1</w:t>
                              </w:r>
                            </w:sdtContent>
                          </w:sdt>
                          <w:r>
                            <w:rPr>
                              <w:rFonts w:eastAsia="Calibri"/>
                              <w:szCs w:val="24"/>
                              <w:lang w:eastAsia="lt-LT"/>
                            </w:rPr>
                            <w:t xml:space="preserve">. rašytinius laisvos formos paaiškinimus ar mokesčių mokėtojo įsipareigojimus sumokėti mokestinę nepriemoką ateityje, sutartis, ketinimo protokolus ir / arba kitus dokumentus, kurie įrodo, kad yra realių galimybių atsiskaityti su biudžetu tuo atveju, jeigu mokestinės nepriemokos mokėjimas būtų atidėtas ir (ar) išdėstytas; </w:t>
                          </w:r>
                        </w:p>
                      </w:sdtContent>
                    </w:sdt>
                    <w:sdt>
                      <w:sdtPr>
                        <w:alias w:val="19.1.2 pp."/>
                        <w:tag w:val="part_4120da0f2100475c91585b4035bb29d0"/>
                        <w:lock w:val="sdtLocked"/>
                        <w:richText/>
                      </w:sdtPr>
                      <w:sdtContent>
                        <w:p>
                          <w:pPr>
                            <w:ind w:firstLine="680"/>
                            <w:jc w:val="both"/>
                            <w:rPr>
                              <w:szCs w:val="24"/>
                            </w:rPr>
                          </w:pPr>
                          <w:sdt>
                            <w:sdtPr>
                              <w:alias w:val="Numeris"/>
                              <w:tag w:val="nr_4120da0f2100475c91585b4035bb29d0"/>
                              <w:lock w:val="sdtLocked"/>
                              <w:richText/>
                            </w:sdtPr>
                            <w:sdtContent>
                              <w:r>
                                <w:rPr>
                                  <w:szCs w:val="24"/>
                                </w:rPr>
                                <w:t>19.1.2</w:t>
                              </w:r>
                            </w:sdtContent>
                          </w:sdt>
                          <w:r>
                            <w:rPr>
                              <w:szCs w:val="24"/>
                            </w:rPr>
                            <w:t>. einamųjų metų paskutinio ketvirčio ir paskutinių vienerių finansinių metų finansinę atskaitomybę (jei Prašymas atidėti ir (ar) išdėstyti mokestinės nepriemokos mokėjimą pateiktas einamųjų metų pirmą ketvirtį – paskutinių dviejų finansinių metų finansinę atskaitomybę), jei ši finansinė atskaitomybė nebuvo pateikta valstybės įmonei Registrų centrui;</w:t>
                          </w:r>
                        </w:p>
                      </w:sdtContent>
                    </w:sdt>
                    <w:sdt>
                      <w:sdtPr>
                        <w:alias w:val="19.1.3 pp."/>
                        <w:tag w:val="part_1d8d8b2950d349cd9305006921e8c8b1"/>
                        <w:lock w:val="sdtLocked"/>
                        <w:richText/>
                      </w:sdtPr>
                      <w:sdtContent>
                        <w:p>
                          <w:pPr>
                            <w:ind w:firstLine="680"/>
                            <w:jc w:val="both"/>
                            <w:rPr>
                              <w:szCs w:val="24"/>
                            </w:rPr>
                          </w:pPr>
                          <w:sdt>
                            <w:sdtPr>
                              <w:alias w:val="Numeris"/>
                              <w:tag w:val="nr_1d8d8b2950d349cd9305006921e8c8b1"/>
                              <w:lock w:val="sdtLocked"/>
                              <w:richText/>
                            </w:sdtPr>
                            <w:sdtContent>
                              <w:r>
                                <w:rPr>
                                  <w:szCs w:val="24"/>
                                </w:rPr>
                                <w:t>19.1.3</w:t>
                              </w:r>
                            </w:sdtContent>
                          </w:sdt>
                          <w:r>
                            <w:rPr>
                              <w:szCs w:val="24"/>
                            </w:rPr>
                            <w:t>. kreditorių sąrašą (teikiami einamųjų metų paskutinio ketvirčio paskutinės dienos duomenys), nurodydamas kreditorių įsiskolinimo susidarymo datas, sumas, vėluojančius mokėjimus (Taisyklių 1 priedas);</w:t>
                          </w:r>
                        </w:p>
                      </w:sdtContent>
                    </w:sdt>
                    <w:sdt>
                      <w:sdtPr>
                        <w:alias w:val="19.1.4 pp."/>
                        <w:tag w:val="part_925aa948079843f39f18d156536c5797"/>
                        <w:lock w:val="sdtLocked"/>
                        <w:richText/>
                      </w:sdtPr>
                      <w:sdtContent>
                        <w:p>
                          <w:pPr>
                            <w:ind w:firstLine="680"/>
                            <w:jc w:val="both"/>
                            <w:rPr>
                              <w:szCs w:val="24"/>
                            </w:rPr>
                          </w:pPr>
                          <w:sdt>
                            <w:sdtPr>
                              <w:alias w:val="Numeris"/>
                              <w:tag w:val="nr_925aa948079843f39f18d156536c5797"/>
                              <w:lock w:val="sdtLocked"/>
                              <w:richText/>
                            </w:sdtPr>
                            <w:sdtContent>
                              <w:r>
                                <w:rPr>
                                  <w:szCs w:val="24"/>
                                </w:rPr>
                                <w:t>19.1.4</w:t>
                              </w:r>
                            </w:sdtContent>
                          </w:sdt>
                          <w:r>
                            <w:rPr>
                              <w:szCs w:val="24"/>
                            </w:rPr>
                            <w:t>. debitorių sąrašą (teikiami einamųjų metų paskutinio ketvirčio paskutinės dienos duomenys), nurodydamas debitorių įsiskolinimo susidarymo datas, sumas, vėluojančius mokėjimus (Taisyklių 2 priedas);</w:t>
                          </w:r>
                        </w:p>
                      </w:sdtContent>
                    </w:sdt>
                    <w:sdt>
                      <w:sdtPr>
                        <w:alias w:val="19.1.5 pp."/>
                        <w:tag w:val="part_f8ceaf930e424878a280956ebd472a34"/>
                        <w:lock w:val="sdtLocked"/>
                        <w:richText/>
                      </w:sdtPr>
                      <w:sdtContent>
                        <w:p>
                          <w:pPr>
                            <w:ind w:firstLine="680"/>
                            <w:jc w:val="both"/>
                            <w:rPr>
                              <w:szCs w:val="24"/>
                            </w:rPr>
                          </w:pPr>
                          <w:sdt>
                            <w:sdtPr>
                              <w:alias w:val="Numeris"/>
                              <w:tag w:val="nr_f8ceaf930e424878a280956ebd472a34"/>
                              <w:lock w:val="sdtLocked"/>
                              <w:richText/>
                            </w:sdtPr>
                            <w:sdtContent>
                              <w:r>
                                <w:rPr>
                                  <w:szCs w:val="24"/>
                                </w:rPr>
                                <w:t>19.1.5</w:t>
                              </w:r>
                            </w:sdtContent>
                          </w:sdt>
                          <w:r>
                            <w:rPr>
                              <w:szCs w:val="24"/>
                            </w:rPr>
                            <w:t>. sąrašą apie turimas sutartis (tarp jų trišalių) su bankais, kredito unijomis, lizingo bendrovėmis, kitomis finansų įstaigomis, juridiniais bei fiziniais asmenimis dėl gautų paskolų (Taisyklių 4 priedas);</w:t>
                          </w:r>
                        </w:p>
                      </w:sdtContent>
                    </w:sdt>
                    <w:sdt>
                      <w:sdtPr>
                        <w:alias w:val="19.1.6 pp."/>
                        <w:tag w:val="part_08e2269c23fc4427bc495364b0329d64"/>
                        <w:lock w:val="sdtLocked"/>
                        <w:richText/>
                      </w:sdtPr>
                      <w:sdtContent>
                        <w:p>
                          <w:pPr>
                            <w:ind w:firstLine="680"/>
                            <w:jc w:val="both"/>
                            <w:rPr>
                              <w:rFonts w:eastAsia="Calibri"/>
                              <w:szCs w:val="24"/>
                              <w:lang w:eastAsia="lt-LT"/>
                            </w:rPr>
                          </w:pPr>
                          <w:sdt>
                            <w:sdtPr>
                              <w:alias w:val="Numeris"/>
                              <w:tag w:val="nr_08e2269c23fc4427bc495364b0329d64"/>
                              <w:lock w:val="sdtLocked"/>
                              <w:richText/>
                            </w:sdtPr>
                            <w:sdtContent>
                              <w:r>
                                <w:rPr>
                                  <w:rFonts w:eastAsia="Calibri"/>
                                  <w:szCs w:val="24"/>
                                  <w:lang w:eastAsia="lt-LT"/>
                                </w:rPr>
                                <w:t>19.1.6</w:t>
                              </w:r>
                            </w:sdtContent>
                          </w:sdt>
                          <w:r>
                            <w:rPr>
                              <w:rFonts w:eastAsia="Calibri"/>
                              <w:szCs w:val="24"/>
                              <w:lang w:eastAsia="lt-LT"/>
                            </w:rPr>
                            <w:t xml:space="preserve">. informaciją apie juridinio asmens, prašančio išdėstyti ir (ar) atidėti mokestinę nepriemoką, suteiktas paskolas juridiniams ir (ar) fiziniams asmenims ir šių paskolų sutarčių kopijas; </w:t>
                          </w:r>
                        </w:p>
                      </w:sdtContent>
                    </w:sdt>
                    <w:sdt>
                      <w:sdtPr>
                        <w:alias w:val="19.1.7 pp."/>
                        <w:tag w:val="part_4345e95ec0d6480eb3285559e523fbe9"/>
                        <w:lock w:val="sdtLocked"/>
                        <w:richText/>
                      </w:sdtPr>
                      <w:sdtContent>
                        <w:p>
                          <w:pPr>
                            <w:ind w:firstLine="680"/>
                            <w:jc w:val="both"/>
                            <w:rPr>
                              <w:szCs w:val="24"/>
                            </w:rPr>
                          </w:pPr>
                          <w:sdt>
                            <w:sdtPr>
                              <w:alias w:val="Numeris"/>
                              <w:tag w:val="nr_4345e95ec0d6480eb3285559e523fbe9"/>
                              <w:lock w:val="sdtLocked"/>
                              <w:richText/>
                            </w:sdtPr>
                            <w:sdtContent>
                              <w:r>
                                <w:rPr>
                                  <w:szCs w:val="24"/>
                                </w:rPr>
                                <w:t>19.1.7</w:t>
                              </w:r>
                            </w:sdtContent>
                          </w:sdt>
                          <w:r>
                            <w:rPr>
                              <w:szCs w:val="24"/>
                            </w:rPr>
                            <w:t>. banko sąskaitų išrašus (</w:t>
                          </w:r>
                          <w:r>
                            <w:rPr>
                              <w:rFonts w:eastAsia="Calibri"/>
                              <w:szCs w:val="24"/>
                              <w:lang w:eastAsia="lt-LT"/>
                            </w:rPr>
                            <w:t xml:space="preserve">duomenis rekomenduotina teikti </w:t>
                          </w:r>
                          <w:r>
                            <w:rPr>
                              <w:rFonts w:eastAsia="Calibri"/>
                              <w:i/>
                              <w:szCs w:val="24"/>
                              <w:lang w:eastAsia="lt-LT"/>
                            </w:rPr>
                            <w:t xml:space="preserve">Microsoft Office Excel </w:t>
                          </w:r>
                          <w:r>
                            <w:rPr>
                              <w:rFonts w:eastAsia="Calibri"/>
                              <w:szCs w:val="24"/>
                              <w:lang w:eastAsia="lt-LT"/>
                            </w:rPr>
                            <w:t>formatu)</w:t>
                          </w:r>
                          <w:r>
                            <w:rPr>
                              <w:szCs w:val="24"/>
                            </w:rPr>
                            <w:t xml:space="preserve">, grynųjų pinigų apskaitos registro (kasos knygos), avansinių apyskaitų kopijas už laikotarpį nuo to mėnesio, kurį susidaro mokestinė nepriemoka, pirmos dienos iki Prašymo atidėti ir (ar) išdėstyti mokestinės nepriemokos mokėjimą teikimo dienos, bet ne ilgesnį kaip 3 mėnesių laikotarpį, duomenis apie atskaitingų asmenų įsiskolinimą Prašymo atidėti ir (ar) išdėstyti mokestinės nepriemokos mokėjimą teikimo dieną; </w:t>
                          </w:r>
                        </w:p>
                      </w:sdtContent>
                    </w:sdt>
                    <w:sdt>
                      <w:sdtPr>
                        <w:alias w:val="19.1.8 pp."/>
                        <w:tag w:val="part_7cc842ae45a041a7afa175bfbcbf9414"/>
                        <w:lock w:val="sdtLocked"/>
                        <w:richText/>
                      </w:sdtPr>
                      <w:sdtContent>
                        <w:p>
                          <w:pPr>
                            <w:ind w:firstLine="680"/>
                            <w:jc w:val="both"/>
                            <w:rPr>
                              <w:rFonts w:eastAsia="Calibri"/>
                              <w:szCs w:val="24"/>
                              <w:lang w:eastAsia="lt-LT"/>
                            </w:rPr>
                          </w:pPr>
                          <w:sdt>
                            <w:sdtPr>
                              <w:alias w:val="Numeris"/>
                              <w:tag w:val="nr_7cc842ae45a041a7afa175bfbcbf9414"/>
                              <w:lock w:val="sdtLocked"/>
                              <w:richText/>
                            </w:sdtPr>
                            <w:sdtContent>
                              <w:r>
                                <w:rPr>
                                  <w:rFonts w:eastAsia="Calibri"/>
                                  <w:szCs w:val="24"/>
                                  <w:lang w:eastAsia="lt-LT"/>
                                </w:rPr>
                                <w:t>19.1.8</w:t>
                              </w:r>
                            </w:sdtContent>
                          </w:sdt>
                          <w:r>
                            <w:rPr>
                              <w:rFonts w:eastAsia="Calibri"/>
                              <w:szCs w:val="24"/>
                              <w:lang w:eastAsia="lt-LT"/>
                            </w:rPr>
                            <w:t xml:space="preserve">. užpildytą Fizinių asmenų anketą, kurios forma FR0283 patvirtinta </w:t>
                          </w:r>
                          <w:r>
                            <w:rPr>
                              <w:rFonts w:eastAsia="Calibri" w:cs="Courier New"/>
                              <w:color w:val="000000"/>
                              <w:szCs w:val="24"/>
                              <w:lang w:eastAsia="lt-LT"/>
                            </w:rPr>
                            <w:t>Valstybinės mokesčių inspekcijos prie Lietuvos Respublikos finansų ministerijos viršinink</w:t>
                          </w:r>
                          <w:r>
                            <w:rPr>
                              <w:rFonts w:eastAsia="Calibri"/>
                              <w:color w:val="000000"/>
                              <w:szCs w:val="24"/>
                              <w:lang w:eastAsia="lt-LT"/>
                            </w:rPr>
                            <w:t>o 2004 m. gegužės 12 d. įsakymu</w:t>
                          </w:r>
                          <w:r>
                            <w:rPr>
                              <w:rFonts w:eastAsia="Calibri" w:cs="Courier New"/>
                              <w:color w:val="000000"/>
                              <w:szCs w:val="24"/>
                              <w:lang w:eastAsia="lt-LT"/>
                            </w:rPr>
                            <w:t xml:space="preserve"> Nr. VA-92 „Dėl Mokesčių mokėtojo mokestinės nepriemokos ir neišieškotos baudos už administracinį nusižengimą ar jos dalies pripažinimo beviltiškomis, jų revizavimo bei apskaitos taisyklių, Mokesčių mokėtojo mokestinės nepriemokos priverstinio išieškojimo išlaidų apskaičiavimo metodikos ir Fizinių asmenų anketos FR0283 formos patvirti</w:t>
                          </w:r>
                          <w:r>
                            <w:rPr>
                              <w:rFonts w:eastAsia="Calibri"/>
                              <w:color w:val="000000"/>
                              <w:szCs w:val="24"/>
                              <w:lang w:eastAsia="lt-LT"/>
                            </w:rPr>
                            <w:t>nimo“</w:t>
                          </w:r>
                          <w:r>
                            <w:rPr>
                              <w:rFonts w:eastAsia="Calibri"/>
                              <w:szCs w:val="24"/>
                              <w:lang w:eastAsia="lt-LT"/>
                            </w:rPr>
                            <w:t xml:space="preserve"> (toliau </w:t>
                          </w:r>
                          <w:r>
                            <w:rPr>
                              <w:rFonts w:ascii="Courier New" w:eastAsia="Calibri" w:hAnsi="Courier New" w:cs="Courier New"/>
                              <w:sz w:val="20"/>
                              <w:szCs w:val="24"/>
                              <w:lang w:eastAsia="lt-LT"/>
                            </w:rPr>
                            <w:t xml:space="preserve">– </w:t>
                          </w:r>
                          <w:r>
                            <w:rPr>
                              <w:rFonts w:eastAsia="Calibri"/>
                              <w:szCs w:val="24"/>
                              <w:lang w:eastAsia="lt-LT"/>
                            </w:rPr>
                            <w:t>Fizinių asmenų anketa). Fizinių asmenų anketos duomenys apie pinigines lėšas, esančias banko įstaigose, turi būti patvirtinti atitinkamais dokumentais (Fizinių asmenų anketa teikiama tuo atveju, kai juridinis asmuo yra individuali įmonė arba ūkinė bendrija);</w:t>
                          </w:r>
                        </w:p>
                      </w:sdtContent>
                    </w:sdt>
                    <w:sdt>
                      <w:sdtPr>
                        <w:alias w:val="19.1.9 pp."/>
                        <w:tag w:val="part_d6d3a9484a9c4e3094e85a2553fc7262"/>
                        <w:lock w:val="sdtLocked"/>
                        <w:richText/>
                      </w:sdtPr>
                      <w:sdtContent>
                        <w:p>
                          <w:pPr>
                            <w:ind w:firstLine="680"/>
                            <w:jc w:val="both"/>
                            <w:rPr>
                              <w:rFonts w:eastAsia="Calibri"/>
                              <w:szCs w:val="24"/>
                              <w:lang w:eastAsia="lt-LT"/>
                            </w:rPr>
                          </w:pPr>
                          <w:sdt>
                            <w:sdtPr>
                              <w:alias w:val="Numeris"/>
                              <w:tag w:val="nr_d6d3a9484a9c4e3094e85a2553fc7262"/>
                              <w:lock w:val="sdtLocked"/>
                              <w:richText/>
                            </w:sdtPr>
                            <w:sdtContent>
                              <w:r>
                                <w:rPr>
                                  <w:rFonts w:eastAsia="Calibri"/>
                                  <w:szCs w:val="24"/>
                                  <w:lang w:eastAsia="lt-LT"/>
                                </w:rPr>
                                <w:t>19.1.9</w:t>
                              </w:r>
                            </w:sdtContent>
                          </w:sdt>
                          <w:r>
                            <w:rPr>
                              <w:rFonts w:eastAsia="Calibri"/>
                              <w:szCs w:val="24"/>
                              <w:lang w:eastAsia="lt-LT"/>
                            </w:rPr>
                            <w:t xml:space="preserve">. Vienos įmonės deklaraciją </w:t>
                          </w:r>
                          <w:r>
                            <w:rPr>
                              <w:shd w:val="clear" w:color="auto" w:fill="FFFFFF"/>
                            </w:rPr>
                            <w:t xml:space="preserve">(Taisyklių </w:t>
                          </w:r>
                          <w:r>
                            <w:rPr>
                              <w:shd w:val="clear" w:color="auto" w:fill="FFFFFF"/>
                              <w:lang w:val="en-US"/>
                            </w:rPr>
                            <w:t>5 priedas)</w:t>
                          </w:r>
                          <w:r>
                            <w:rPr>
                              <w:shd w:val="clear" w:color="auto" w:fill="FFFFFF"/>
                            </w:rPr>
                            <w:t xml:space="preserve">, tuo atveju, kai turi </w:t>
                          </w:r>
                          <w:r>
                            <w:rPr>
                              <w:szCs w:val="24"/>
                            </w:rPr>
                            <w:t>susijusių įmonių, kurios sudaro Vieną įmonę, pagal Taisyklių 3.7 papunktį;</w:t>
                          </w:r>
                        </w:p>
                      </w:sdtContent>
                    </w:sdt>
                    <w:sdt>
                      <w:sdtPr>
                        <w:alias w:val="19.1.10 pp."/>
                        <w:tag w:val="part_9e44fdbb9871486a9692f36f0d38accc"/>
                        <w:lock w:val="sdtLocked"/>
                        <w:richText/>
                      </w:sdtPr>
                      <w:sdtContent>
                        <w:p>
                          <w:pPr>
                            <w:ind w:firstLine="680"/>
                            <w:jc w:val="both"/>
                            <w:rPr>
                              <w:szCs w:val="24"/>
                            </w:rPr>
                          </w:pPr>
                          <w:sdt>
                            <w:sdtPr>
                              <w:alias w:val="Numeris"/>
                              <w:tag w:val="nr_9e44fdbb9871486a9692f36f0d38accc"/>
                              <w:lock w:val="sdtLocked"/>
                              <w:richText/>
                            </w:sdtPr>
                            <w:sdtContent>
                              <w:r>
                                <w:rPr>
                                  <w:szCs w:val="24"/>
                                </w:rPr>
                                <w:t>19.1.</w:t>
                              </w:r>
                              <w:r>
                                <w:rPr>
                                  <w:szCs w:val="24"/>
                                  <w:lang w:val="en-US"/>
                                </w:rPr>
                                <w:t>10</w:t>
                              </w:r>
                            </w:sdtContent>
                          </w:sdt>
                          <w:r>
                            <w:rPr>
                              <w:szCs w:val="24"/>
                            </w:rPr>
                            <w:t>. jei mokesčių mokėtojas – juridinis asmuo – kreipiasi dėl 100 000 (vieno šimto tūkstančio) eurų ar didesnės sumos mokestinės nepriemokos atidėjimo ir (ar) išdėstymo ilgesniam nei 24 (dvidešimt keturių) mėnesių laikotarpiui, siekiant apskaičiuoti rodiklį „Mokesčių mokėtojo – juridinio asmens finansinių rodiklių susiejimas su prašomu mokestinės</w:t>
                          </w:r>
                          <w:r>
                            <w:rPr>
                              <w:szCs w:val="24"/>
                              <w:vertAlign w:val="superscript"/>
                            </w:rPr>
                            <w:t xml:space="preserve"> </w:t>
                          </w:r>
                          <w:r>
                            <w:rPr>
                              <w:szCs w:val="24"/>
                            </w:rPr>
                            <w:t xml:space="preserve">nepriemokos sumokėjimo laikotarpiu“, numatytą </w:t>
                          </w:r>
                          <w:r>
                            <w:rPr>
                              <w:szCs w:val="22"/>
                            </w:rPr>
                            <w:t>Rekomendacijų 4 priede</w:t>
                          </w:r>
                          <w:r>
                            <w:rPr>
                              <w:szCs w:val="24"/>
                            </w:rPr>
                            <w:t>, papildomai turi pateikti:</w:t>
                          </w:r>
                        </w:p>
                        <w:sdt>
                          <w:sdtPr>
                            <w:alias w:val="19.1.10.1 pp."/>
                            <w:tag w:val="part_5ad32fb9655649c49f2cc984843c5df6"/>
                            <w:lock w:val="sdtLocked"/>
                            <w:richText/>
                          </w:sdtPr>
                          <w:sdtContent>
                            <w:p>
                              <w:pPr>
                                <w:ind w:firstLine="680"/>
                                <w:jc w:val="both"/>
                                <w:rPr>
                                  <w:rFonts w:eastAsia="Calibri"/>
                                  <w:szCs w:val="24"/>
                                </w:rPr>
                              </w:pPr>
                              <w:sdt>
                                <w:sdtPr>
                                  <w:alias w:val="Numeris"/>
                                  <w:tag w:val="nr_5ad32fb9655649c49f2cc984843c5df6"/>
                                  <w:lock w:val="sdtLocked"/>
                                  <w:richText/>
                                </w:sdtPr>
                                <w:sdtContent>
                                  <w:r>
                                    <w:rPr>
                                      <w:rFonts w:eastAsia="Calibri"/>
                                      <w:szCs w:val="24"/>
                                    </w:rPr>
                                    <w:t>19.1.10.1</w:t>
                                  </w:r>
                                </w:sdtContent>
                              </w:sdt>
                              <w:r>
                                <w:rPr>
                                  <w:rFonts w:eastAsia="Calibri"/>
                                  <w:szCs w:val="24"/>
                                </w:rPr>
                                <w:t xml:space="preserve">. einamųjų metų paskutinio ketvirčio arba paskutinių finansinių metų (jei Prašymas atidėti ir (ar) išdėstyti mokestinės nepriemokos mokėjimą pateiktas einamųjų metų pirmą ketvirtį) duomenis apie skolas finansų įstaigoms (finansų įmonėms ir (ar) kredito įstaigoms); </w:t>
                              </w:r>
                            </w:p>
                          </w:sdtContent>
                        </w:sdt>
                        <w:sdt>
                          <w:sdtPr>
                            <w:alias w:val="19.1.10.2 pp."/>
                            <w:tag w:val="part_b0ff42f67a3c4627a339da01b86f9133"/>
                            <w:lock w:val="sdtLocked"/>
                            <w:richText/>
                          </w:sdtPr>
                          <w:sdtContent>
                            <w:p>
                              <w:pPr>
                                <w:ind w:firstLine="680"/>
                                <w:jc w:val="both"/>
                                <w:rPr>
                                  <w:szCs w:val="24"/>
                                </w:rPr>
                              </w:pPr>
                              <w:sdt>
                                <w:sdtPr>
                                  <w:alias w:val="Numeris"/>
                                  <w:tag w:val="nr_b0ff42f67a3c4627a339da01b86f9133"/>
                                  <w:lock w:val="sdtLocked"/>
                                  <w:richText/>
                                </w:sdtPr>
                                <w:sdtContent>
                                  <w:r>
                                    <w:rPr>
                                      <w:szCs w:val="24"/>
                                    </w:rPr>
                                    <w:t>19.1.10.2</w:t>
                                  </w:r>
                                </w:sdtContent>
                              </w:sdt>
                              <w:r>
                                <w:rPr>
                                  <w:szCs w:val="24"/>
                                </w:rPr>
                                <w:t xml:space="preserve">. duomenis apie nusidėvėjimo ir (ar) amortizacijos sąnaudas per praėjusius paskutinius finansinius metus; </w:t>
                              </w:r>
                            </w:p>
                          </w:sdtContent>
                        </w:sdt>
                        <w:sdt>
                          <w:sdtPr>
                            <w:alias w:val="19.1.10.3 pp."/>
                            <w:tag w:val="part_21eb71e16d454a2c9b42720d9616fa38"/>
                            <w:lock w:val="sdtLocked"/>
                            <w:richText/>
                          </w:sdtPr>
                          <w:sdtContent>
                            <w:p>
                              <w:pPr>
                                <w:ind w:firstLine="680"/>
                                <w:jc w:val="both"/>
                                <w:rPr>
                                  <w:szCs w:val="24"/>
                                </w:rPr>
                              </w:pPr>
                              <w:sdt>
                                <w:sdtPr>
                                  <w:alias w:val="Numeris"/>
                                  <w:tag w:val="nr_21eb71e16d454a2c9b42720d9616fa38"/>
                                  <w:lock w:val="sdtLocked"/>
                                  <w:richText/>
                                </w:sdtPr>
                                <w:sdtContent>
                                  <w:r>
                                    <w:rPr>
                                      <w:szCs w:val="24"/>
                                    </w:rPr>
                                    <w:t>19.1.10.3</w:t>
                                  </w:r>
                                </w:sdtContent>
                              </w:sdt>
                              <w:r>
                                <w:rPr>
                                  <w:szCs w:val="24"/>
                                </w:rPr>
                                <w:t>. duomenis apie paskutinių finansinių metų finansinėje atskaitomybėje parodytą palūkanų sąnaudų sumą bei palūkanų pajamų sumą;</w:t>
                              </w:r>
                            </w:p>
                          </w:sdtContent>
                        </w:sdt>
                      </w:sdtContent>
                    </w:sdt>
                    <w:sdt>
                      <w:sdtPr>
                        <w:alias w:val="19.1.11 pp."/>
                        <w:tag w:val="part_5646bb9114084e77a739726ad2e6e448"/>
                        <w:lock w:val="sdtLocked"/>
                        <w:richText/>
                      </w:sdtPr>
                      <w:sdtContent>
                        <w:p>
                          <w:pPr>
                            <w:ind w:firstLine="680"/>
                            <w:jc w:val="both"/>
                            <w:rPr>
                              <w:rFonts w:eastAsia="Calibri"/>
                              <w:szCs w:val="24"/>
                              <w:lang w:eastAsia="lt-LT"/>
                            </w:rPr>
                          </w:pPr>
                          <w:sdt>
                            <w:sdtPr>
                              <w:alias w:val="Numeris"/>
                              <w:tag w:val="nr_5646bb9114084e77a739726ad2e6e448"/>
                              <w:lock w:val="sdtLocked"/>
                              <w:richText/>
                            </w:sdtPr>
                            <w:sdtContent>
                              <w:r>
                                <w:rPr>
                                  <w:szCs w:val="24"/>
                                </w:rPr>
                                <w:t>19.1.11</w:t>
                              </w:r>
                            </w:sdtContent>
                          </w:sdt>
                          <w:r>
                            <w:rPr>
                              <w:szCs w:val="24"/>
                            </w:rPr>
                            <w:t>.</w:t>
                          </w:r>
                          <w:r>
                            <w:rPr>
                              <w:rFonts w:eastAsia="Calibri"/>
                              <w:szCs w:val="24"/>
                              <w:lang w:eastAsia="lt-LT"/>
                            </w:rPr>
                            <w:t xml:space="preserve"> jei Taisyklių 19.1.10.1, 19.1.10.2 ir </w:t>
                          </w:r>
                          <w:r>
                            <w:rPr>
                              <w:rFonts w:eastAsia="Calibri"/>
                              <w:szCs w:val="24"/>
                              <w:lang w:val="en-US" w:eastAsia="lt-LT"/>
                            </w:rPr>
                            <w:t>19</w:t>
                          </w:r>
                          <w:r>
                            <w:rPr>
                              <w:rFonts w:eastAsia="Calibri"/>
                              <w:szCs w:val="24"/>
                              <w:lang w:eastAsia="lt-LT"/>
                            </w:rPr>
                            <w:t xml:space="preserve">.1.10.3 papunkčiuose nurodyti duomenys (ar dalis duomenų) nėra apskaitomi mokesčių mokėtojo finansinėje atskaitomybėje, mokesčių mokėtojas – juridinis asmuo, apie tai privalo pateikti duomenis </w:t>
                          </w:r>
                          <w:r>
                            <w:rPr>
                              <w:szCs w:val="22"/>
                            </w:rPr>
                            <w:t>mokesčių administratoriui Taisyklių 25 punkte nustatytu</w:t>
                          </w:r>
                          <w:r>
                            <w:rPr>
                              <w:b/>
                              <w:szCs w:val="22"/>
                            </w:rPr>
                            <w:t xml:space="preserve"> </w:t>
                          </w:r>
                          <w:r>
                            <w:rPr>
                              <w:szCs w:val="22"/>
                            </w:rPr>
                            <w:t>būdu;</w:t>
                          </w:r>
                          <w:r>
                            <w:t xml:space="preserve"> </w:t>
                          </w:r>
                        </w:p>
                      </w:sdtContent>
                    </w:sdt>
                  </w:sdtContent>
                </w:sdt>
                <w:sdt>
                  <w:sdtPr>
                    <w:alias w:val="19.2 pp."/>
                    <w:tag w:val="part_1c70524647b64a79893bc05824df98e0"/>
                    <w:lock w:val="sdtLocked"/>
                    <w:richText/>
                  </w:sdtPr>
                  <w:sdtContent>
                    <w:p>
                      <w:pPr>
                        <w:ind w:firstLine="680"/>
                        <w:jc w:val="both"/>
                        <w:rPr>
                          <w:rFonts w:eastAsia="Calibri"/>
                          <w:szCs w:val="24"/>
                          <w:lang w:eastAsia="lt-LT"/>
                        </w:rPr>
                      </w:pPr>
                      <w:sdt>
                        <w:sdtPr>
                          <w:alias w:val="Numeris"/>
                          <w:tag w:val="nr_1c70524647b64a79893bc05824df98e0"/>
                          <w:lock w:val="sdtLocked"/>
                          <w:richText/>
                        </w:sdtPr>
                        <w:sdtContent>
                          <w:r>
                            <w:rPr>
                              <w:rFonts w:eastAsia="Calibri"/>
                              <w:szCs w:val="24"/>
                              <w:lang w:eastAsia="lt-LT"/>
                            </w:rPr>
                            <w:t>19.2</w:t>
                          </w:r>
                        </w:sdtContent>
                      </w:sdt>
                      <w:r>
                        <w:rPr>
                          <w:rFonts w:eastAsia="Calibri"/>
                          <w:szCs w:val="24"/>
                          <w:lang w:eastAsia="lt-LT"/>
                        </w:rPr>
                        <w:t xml:space="preserve">. mokesčių mokėtojas – fizinis asmuo, vykdantis individualią veiklą (pagal </w:t>
                      </w:r>
                      <w:r>
                        <w:rPr>
                          <w:szCs w:val="24"/>
                        </w:rPr>
                        <w:t xml:space="preserve">Gyventojo individualios veiklos vykdymo ar </w:t>
                      </w:r>
                      <w:r>
                        <w:rPr>
                          <w:color w:val="000000"/>
                          <w:szCs w:val="24"/>
                        </w:rPr>
                        <w:t xml:space="preserve">nuolatinės bazės įregistravimo Lietuvoje </w:t>
                      </w:r>
                      <w:r>
                        <w:rPr>
                          <w:szCs w:val="24"/>
                        </w:rPr>
                        <w:t xml:space="preserve">pažymą, kurios forma FR0468 patvirtinta Valstybinės mokesčių inspekcijos prie Lietuvos Respublikos finansų ministerijos viršininko 2002 m. gruodžio 24 d. įsakymu Nr. 373 „Dėl Gyventojo individualios veiklos vykdymo ar nuolatinės bazės įregistravimo Lietuvoje pažymos FR0468 išdavimo taisyklių ir jos formos patvirtinimo“, </w:t>
                      </w:r>
                      <w:r>
                        <w:rPr>
                          <w:rFonts w:eastAsia="Calibri"/>
                          <w:szCs w:val="24"/>
                          <w:lang w:eastAsia="lt-LT"/>
                        </w:rPr>
                        <w:t>ar pagal Verslo liudijimą, kurio pavyzdinė forma GPM307 patvirtinta Valstybinės mokesčių inspekcijos prie Lietuvos Respublikos finansų ministerijos viršininko 2002 m. lapkričio 21 d. įsakymu Nr. 333 „Dėl Verslo liudijimo formos ir Veiklų, kuriomis gali būti verčiamasi turint verslo liudijimą, rušių klasifikatoriaus patvirtinimo“), ar ūkininkas pateikia:</w:t>
                      </w:r>
                      <w:r>
                        <w:t xml:space="preserve"> </w:t>
                      </w:r>
                    </w:p>
                    <w:p>
                      <w:pPr>
                        <w:ind w:firstLine="680"/>
                        <w:jc w:val="both"/>
                        <w:rPr>
                          <w:rFonts w:eastAsia="Calibri"/>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sdt>
                      <w:sdtPr>
                        <w:alias w:val="19.2.1 pp."/>
                        <w:tag w:val="part_681f783994514ee286d8a92e10130978"/>
                        <w:lock w:val="sdtLocked"/>
                        <w:richText/>
                      </w:sdtPr>
                      <w:sdtContent>
                        <w:p>
                          <w:pPr>
                            <w:ind w:firstLine="680"/>
                            <w:jc w:val="both"/>
                            <w:rPr>
                              <w:rFonts w:eastAsia="Calibri"/>
                              <w:szCs w:val="24"/>
                              <w:lang w:eastAsia="lt-LT"/>
                            </w:rPr>
                          </w:pPr>
                          <w:sdt>
                            <w:sdtPr>
                              <w:alias w:val="Numeris"/>
                              <w:tag w:val="nr_681f783994514ee286d8a92e10130978"/>
                              <w:lock w:val="sdtLocked"/>
                              <w:richText/>
                            </w:sdtPr>
                            <w:sdtContent>
                              <w:r>
                                <w:rPr>
                                  <w:rFonts w:eastAsia="Calibri"/>
                                  <w:szCs w:val="24"/>
                                  <w:lang w:eastAsia="lt-LT"/>
                                </w:rPr>
                                <w:t>19.2.1</w:t>
                              </w:r>
                            </w:sdtContent>
                          </w:sdt>
                          <w:r>
                            <w:rPr>
                              <w:rFonts w:eastAsia="Calibri"/>
                              <w:szCs w:val="24"/>
                              <w:lang w:eastAsia="lt-LT"/>
                            </w:rPr>
                            <w:t xml:space="preserve">. užpildytą Fizinių asmenų anketą, kurios duomenys apie pinigines lėšas, esančias banko įstaigose, turi būti patvirtinti atitinkamais dokumentais; </w:t>
                          </w:r>
                        </w:p>
                      </w:sdtContent>
                    </w:sdt>
                    <w:sdt>
                      <w:sdtPr>
                        <w:alias w:val="19.2.2 pp."/>
                        <w:tag w:val="part_92ce1770fda4484b8a6608d00a88028d"/>
                        <w:lock w:val="sdtLocked"/>
                        <w:richText/>
                      </w:sdtPr>
                      <w:sdtContent>
                        <w:p>
                          <w:pPr>
                            <w:ind w:firstLine="680"/>
                            <w:jc w:val="both"/>
                            <w:rPr>
                              <w:rFonts w:eastAsia="Calibri"/>
                              <w:szCs w:val="24"/>
                              <w:lang w:eastAsia="lt-LT"/>
                            </w:rPr>
                          </w:pPr>
                          <w:sdt>
                            <w:sdtPr>
                              <w:alias w:val="Numeris"/>
                              <w:tag w:val="nr_92ce1770fda4484b8a6608d00a88028d"/>
                              <w:lock w:val="sdtLocked"/>
                              <w:richText/>
                            </w:sdtPr>
                            <w:sdtContent>
                              <w:r>
                                <w:rPr>
                                  <w:rFonts w:eastAsia="Calibri"/>
                                  <w:szCs w:val="24"/>
                                  <w:lang w:eastAsia="lt-LT"/>
                                </w:rPr>
                                <w:t>19.2.2</w:t>
                              </w:r>
                            </w:sdtContent>
                          </w:sdt>
                          <w:r>
                            <w:rPr>
                              <w:rFonts w:eastAsia="Calibri"/>
                              <w:szCs w:val="24"/>
                              <w:lang w:eastAsia="lt-LT"/>
                            </w:rPr>
                            <w:t>. dokumentus, kurie įrodo, kad yra realių galimybių atsiskaityti su biudžetu tuo atveju, jeigu mokestinės nepriemokos mokėjimas būtų atidėtas arba išdėstytas;</w:t>
                          </w:r>
                        </w:p>
                      </w:sdtContent>
                    </w:sdt>
                    <w:sdt>
                      <w:sdtPr>
                        <w:alias w:val="19.2.3 pp."/>
                        <w:tag w:val="part_60551b8306ec4b1a9ef19cf4b352371b"/>
                        <w:lock w:val="sdtLocked"/>
                        <w:richText/>
                      </w:sdtPr>
                      <w:sdtContent>
                        <w:p>
                          <w:pPr>
                            <w:ind w:firstLine="680"/>
                            <w:jc w:val="both"/>
                            <w:rPr>
                              <w:szCs w:val="24"/>
                            </w:rPr>
                          </w:pPr>
                          <w:sdt>
                            <w:sdtPr>
                              <w:alias w:val="Numeris"/>
                              <w:tag w:val="nr_60551b8306ec4b1a9ef19cf4b352371b"/>
                              <w:lock w:val="sdtLocked"/>
                              <w:richText/>
                            </w:sdtPr>
                            <w:sdtContent>
                              <w:r>
                                <w:rPr>
                                  <w:szCs w:val="24"/>
                                </w:rPr>
                                <w:t>19.2.</w:t>
                              </w:r>
                              <w:r>
                                <w:rPr>
                                  <w:szCs w:val="24"/>
                                  <w:lang w:val="en-US"/>
                                </w:rPr>
                                <w:t>3</w:t>
                              </w:r>
                            </w:sdtContent>
                          </w:sdt>
                          <w:r>
                            <w:rPr>
                              <w:szCs w:val="24"/>
                            </w:rPr>
                            <w:t xml:space="preserve">. kreditorių sąrašą (teikiami Prašymo atidėti ir (ar) išdėstyti mokestinės nepriemokos mokėjimą teikimo dienos ar einamųjų metų paskutinio ketvirčio paskutinės dienos duomenys), nurodydamas kreditorių įsiskolinimo susidarymo datas, sumas, vėluojančius mokėjimus (Taisyklių 1 priedas); </w:t>
                          </w:r>
                        </w:p>
                      </w:sdtContent>
                    </w:sdt>
                    <w:sdt>
                      <w:sdtPr>
                        <w:alias w:val="19.2.4 pp."/>
                        <w:tag w:val="part_a5b42da2114e44c3b00e0c6d150dc373"/>
                        <w:lock w:val="sdtLocked"/>
                        <w:richText/>
                      </w:sdtPr>
                      <w:sdtContent>
                        <w:p>
                          <w:pPr>
                            <w:ind w:firstLine="680"/>
                            <w:jc w:val="both"/>
                            <w:rPr>
                              <w:szCs w:val="24"/>
                            </w:rPr>
                          </w:pPr>
                          <w:sdt>
                            <w:sdtPr>
                              <w:alias w:val="Numeris"/>
                              <w:tag w:val="nr_a5b42da2114e44c3b00e0c6d150dc373"/>
                              <w:lock w:val="sdtLocked"/>
                              <w:richText/>
                            </w:sdtPr>
                            <w:sdtContent>
                              <w:r>
                                <w:rPr>
                                  <w:szCs w:val="24"/>
                                </w:rPr>
                                <w:t>19.2.4</w:t>
                              </w:r>
                            </w:sdtContent>
                          </w:sdt>
                          <w:r>
                            <w:rPr>
                              <w:szCs w:val="24"/>
                            </w:rPr>
                            <w:t xml:space="preserve">. debitorių sąrašą (teikiami Prašymo atidėti ir (ar) išdėstyti mokestinės nepriemokos mokėjimą teikimo dienos ar einamųjų metų paskutinio ketvirčio paskutinės dienos duomenys), nurodydamas debitorių įsiskolinimo susidarymo datas, sumas, vėluojančius mokėjimus (Taisyklių 2 priedas); </w:t>
                          </w:r>
                        </w:p>
                      </w:sdtContent>
                    </w:sdt>
                    <w:sdt>
                      <w:sdtPr>
                        <w:alias w:val="19.2.5 pp."/>
                        <w:tag w:val="part_d9b9a7b62b104f8f8575d0ea52f6e9c9"/>
                        <w:lock w:val="sdtLocked"/>
                        <w:richText/>
                      </w:sdtPr>
                      <w:sdtContent>
                        <w:p>
                          <w:pPr>
                            <w:ind w:firstLine="680"/>
                            <w:jc w:val="both"/>
                            <w:rPr>
                              <w:rFonts w:eastAsia="Calibri"/>
                              <w:szCs w:val="24"/>
                              <w:lang w:eastAsia="lt-LT"/>
                            </w:rPr>
                          </w:pPr>
                          <w:sdt>
                            <w:sdtPr>
                              <w:alias w:val="Numeris"/>
                              <w:tag w:val="nr_d9b9a7b62b104f8f8575d0ea52f6e9c9"/>
                              <w:lock w:val="sdtLocked"/>
                              <w:richText/>
                            </w:sdtPr>
                            <w:sdtContent>
                              <w:r>
                                <w:rPr>
                                  <w:rFonts w:eastAsia="Calibri"/>
                                  <w:szCs w:val="24"/>
                                  <w:lang w:eastAsia="lt-LT"/>
                                </w:rPr>
                                <w:t>19.2.5</w:t>
                              </w:r>
                            </w:sdtContent>
                          </w:sdt>
                          <w:r>
                            <w:rPr>
                              <w:rFonts w:eastAsia="Calibri"/>
                              <w:szCs w:val="24"/>
                              <w:lang w:eastAsia="lt-LT"/>
                            </w:rPr>
                            <w:t>. duomenis apie pajamas, išlaidas per paskutinius 3 mėnesius (</w:t>
                          </w:r>
                          <w:r>
                            <w:rPr>
                              <w:szCs w:val="24"/>
                            </w:rPr>
                            <w:t xml:space="preserve">Taisyklių </w:t>
                          </w:r>
                          <w:r>
                            <w:rPr>
                              <w:rFonts w:eastAsia="Calibri"/>
                              <w:szCs w:val="24"/>
                              <w:lang w:eastAsia="lt-LT"/>
                            </w:rPr>
                            <w:t>3 priedas);</w:t>
                          </w:r>
                        </w:p>
                      </w:sdtContent>
                    </w:sdt>
                    <w:sdt>
                      <w:sdtPr>
                        <w:alias w:val="19.2.6 pp."/>
                        <w:tag w:val="part_7b7768ce6ff2425cbc6c43169240801b"/>
                        <w:lock w:val="sdtLocked"/>
                        <w:richText/>
                      </w:sdtPr>
                      <w:sdtContent>
                        <w:p>
                          <w:pPr>
                            <w:ind w:firstLine="680"/>
                            <w:jc w:val="both"/>
                            <w:rPr>
                              <w:szCs w:val="24"/>
                            </w:rPr>
                          </w:pPr>
                          <w:sdt>
                            <w:sdtPr>
                              <w:alias w:val="Numeris"/>
                              <w:tag w:val="nr_7b7768ce6ff2425cbc6c43169240801b"/>
                              <w:lock w:val="sdtLocked"/>
                              <w:richText/>
                            </w:sdtPr>
                            <w:sdtContent>
                              <w:r>
                                <w:rPr>
                                  <w:szCs w:val="24"/>
                                </w:rPr>
                                <w:t>19.2.6</w:t>
                              </w:r>
                            </w:sdtContent>
                          </w:sdt>
                          <w:r>
                            <w:rPr>
                              <w:szCs w:val="24"/>
                            </w:rPr>
                            <w:t xml:space="preserve">. sąrašą apie turimas sutartis (tarp jų trišalių) su bankais, kredito unijomis , lizingo bendrovėmis, kitomis finansų įstaigomis, juridiniais bei fiziniais asmenimis dėl gautų paskolų (Taisyklių </w:t>
                          </w:r>
                          <w:r>
                            <w:rPr>
                              <w:szCs w:val="24"/>
                              <w:lang w:val="en-US"/>
                            </w:rPr>
                            <w:t>4 priedas)</w:t>
                          </w:r>
                          <w:r>
                            <w:rPr>
                              <w:szCs w:val="24"/>
                            </w:rPr>
                            <w:t xml:space="preserve">; </w:t>
                          </w:r>
                        </w:p>
                      </w:sdtContent>
                    </w:sdt>
                    <w:sdt>
                      <w:sdtPr>
                        <w:alias w:val="19.2.7 pp."/>
                        <w:tag w:val="part_e72c345268a648dab4ddee2f0ae71f0f"/>
                        <w:lock w:val="sdtLocked"/>
                        <w:richText/>
                      </w:sdtPr>
                      <w:sdtContent>
                        <w:p>
                          <w:pPr>
                            <w:ind w:firstLine="680"/>
                            <w:jc w:val="both"/>
                            <w:rPr>
                              <w:szCs w:val="24"/>
                            </w:rPr>
                          </w:pPr>
                          <w:sdt>
                            <w:sdtPr>
                              <w:alias w:val="Numeris"/>
                              <w:tag w:val="nr_e72c345268a648dab4ddee2f0ae71f0f"/>
                              <w:lock w:val="sdtLocked"/>
                              <w:richText/>
                            </w:sdtPr>
                            <w:sdtContent>
                              <w:r>
                                <w:rPr>
                                  <w:szCs w:val="24"/>
                                </w:rPr>
                                <w:t>19.2.7</w:t>
                              </w:r>
                            </w:sdtContent>
                          </w:sdt>
                          <w:r>
                            <w:rPr>
                              <w:szCs w:val="24"/>
                            </w:rPr>
                            <w:t>. banko sąskaitų išrašus (</w:t>
                          </w:r>
                          <w:r>
                            <w:rPr>
                              <w:rFonts w:eastAsia="Calibri"/>
                              <w:szCs w:val="24"/>
                              <w:lang w:eastAsia="lt-LT"/>
                            </w:rPr>
                            <w:t xml:space="preserve">duomenis rekomenduotina teikti </w:t>
                          </w:r>
                          <w:r>
                            <w:rPr>
                              <w:rFonts w:eastAsia="Calibri"/>
                              <w:i/>
                              <w:szCs w:val="24"/>
                              <w:lang w:eastAsia="lt-LT"/>
                            </w:rPr>
                            <w:t xml:space="preserve">Microsoft Office Excel </w:t>
                          </w:r>
                          <w:r>
                            <w:rPr>
                              <w:rFonts w:eastAsia="Calibri"/>
                              <w:szCs w:val="24"/>
                              <w:lang w:eastAsia="lt-LT"/>
                            </w:rPr>
                            <w:t>formatu)</w:t>
                          </w:r>
                          <w:r>
                            <w:rPr>
                              <w:szCs w:val="24"/>
                            </w:rPr>
                            <w:t>, grynųjų pinigų apskaitos registro (kasos knygos) (jei ji vedama) kopijas už laikotarpį nuo to mėnesio, kurį susidaro mokestinė nepriemoka, pirmos dienos iki Prašymo atidėti ir (ar) išdėstyti mokestinės nepriemokos mokėjimą teikimo dienos, bet ne ilgesnį kaip 3 mėnesių laikotarpį;</w:t>
                          </w:r>
                        </w:p>
                      </w:sdtContent>
                    </w:sdt>
                    <w:sdt>
                      <w:sdtPr>
                        <w:alias w:val="19.2.8 pp."/>
                        <w:tag w:val="part_42c99bc149ff4e7cb38933c6bb18d46c"/>
                        <w:lock w:val="sdtLocked"/>
                        <w:richText/>
                      </w:sdtPr>
                      <w:sdtContent>
                        <w:p>
                          <w:pPr>
                            <w:ind w:firstLine="680"/>
                            <w:jc w:val="both"/>
                            <w:rPr>
                              <w:szCs w:val="24"/>
                            </w:rPr>
                          </w:pPr>
                          <w:sdt>
                            <w:sdtPr>
                              <w:alias w:val="Numeris"/>
                              <w:tag w:val="nr_42c99bc149ff4e7cb38933c6bb18d46c"/>
                              <w:lock w:val="sdtLocked"/>
                              <w:richText/>
                            </w:sdtPr>
                            <w:sdtContent>
                              <w:r>
                                <w:rPr>
                                  <w:szCs w:val="24"/>
                                </w:rPr>
                                <w:t>19.2.8</w:t>
                              </w:r>
                            </w:sdtContent>
                          </w:sdt>
                          <w:r>
                            <w:rPr>
                              <w:szCs w:val="24"/>
                            </w:rPr>
                            <w:t xml:space="preserve">. </w:t>
                          </w:r>
                          <w:r>
                            <w:rPr>
                              <w:rFonts w:eastAsia="Calibri"/>
                              <w:szCs w:val="24"/>
                              <w:lang w:eastAsia="lt-LT"/>
                            </w:rPr>
                            <w:t xml:space="preserve">Vienos įmonės deklaraciją </w:t>
                          </w:r>
                          <w:r>
                            <w:rPr>
                              <w:shd w:val="clear" w:color="auto" w:fill="FFFFFF"/>
                            </w:rPr>
                            <w:t xml:space="preserve">(Taisyklių </w:t>
                          </w:r>
                          <w:r>
                            <w:rPr>
                              <w:shd w:val="clear" w:color="auto" w:fill="FFFFFF"/>
                              <w:lang w:val="en-US"/>
                            </w:rPr>
                            <w:t>5 priedas)</w:t>
                          </w:r>
                          <w:r>
                            <w:rPr>
                              <w:shd w:val="clear" w:color="auto" w:fill="FFFFFF"/>
                            </w:rPr>
                            <w:t xml:space="preserve">, tuo atveju, kai turi </w:t>
                          </w:r>
                          <w:r>
                            <w:rPr>
                              <w:szCs w:val="24"/>
                            </w:rPr>
                            <w:t xml:space="preserve">susijusių įmonių, kurios sudaro Vieną įmonę, pagal Taisyklių 3.7 papunktį; </w:t>
                          </w:r>
                        </w:p>
                      </w:sdtContent>
                    </w:sdt>
                  </w:sdtContent>
                </w:sdt>
                <w:sdt>
                  <w:sdtPr>
                    <w:alias w:val="19.3 pp."/>
                    <w:tag w:val="part_02a6543da001438eb81b54606c5f1e57"/>
                    <w:lock w:val="sdtLocked"/>
                    <w:richText/>
                  </w:sdtPr>
                  <w:sdtContent>
                    <w:p>
                      <w:pPr>
                        <w:ind w:firstLine="680"/>
                        <w:jc w:val="both"/>
                        <w:rPr>
                          <w:szCs w:val="24"/>
                        </w:rPr>
                      </w:pPr>
                      <w:sdt>
                        <w:sdtPr>
                          <w:alias w:val="Numeris"/>
                          <w:tag w:val="nr_02a6543da001438eb81b54606c5f1e57"/>
                          <w:lock w:val="sdtLocked"/>
                          <w:richText/>
                        </w:sdtPr>
                        <w:sdtContent>
                          <w:r>
                            <w:rPr>
                              <w:szCs w:val="24"/>
                            </w:rPr>
                            <w:t>19.3</w:t>
                          </w:r>
                        </w:sdtContent>
                      </w:sdt>
                      <w:r>
                        <w:rPr>
                          <w:szCs w:val="24"/>
                        </w:rPr>
                        <w:t>. mokesčių mokėtojas – fizinis asmuo, nenurodytas Taisyklių</w:t>
                      </w:r>
                      <w:r>
                        <w:rPr>
                          <w:color w:val="FF0000"/>
                          <w:szCs w:val="24"/>
                        </w:rPr>
                        <w:t xml:space="preserve"> </w:t>
                      </w:r>
                      <w:r>
                        <w:rPr>
                          <w:szCs w:val="24"/>
                        </w:rPr>
                        <w:t>19.2 papunktyje,</w:t>
                      </w:r>
                      <w:r>
                        <w:rPr>
                          <w:b/>
                          <w:szCs w:val="24"/>
                        </w:rPr>
                        <w:t xml:space="preserve"> </w:t>
                      </w:r>
                      <w:r>
                        <w:rPr>
                          <w:szCs w:val="24"/>
                        </w:rPr>
                        <w:t xml:space="preserve">ar fizinis asmuo, kuriam </w:t>
                      </w:r>
                      <w:r>
                        <w:t>paskirta bauda už administracinį nusižengimą, pateikia</w:t>
                      </w:r>
                      <w:r>
                        <w:rPr>
                          <w:szCs w:val="24"/>
                        </w:rPr>
                        <w:t>:</w:t>
                      </w:r>
                    </w:p>
                    <w:sdt>
                      <w:sdtPr>
                        <w:alias w:val="19.3.1 pp."/>
                        <w:tag w:val="part_57b922b2188047aaa15e9eff473e5d36"/>
                        <w:lock w:val="sdtLocked"/>
                        <w:richText/>
                      </w:sdtPr>
                      <w:sdtContent>
                        <w:p>
                          <w:pPr>
                            <w:ind w:firstLine="680"/>
                            <w:jc w:val="both"/>
                            <w:rPr>
                              <w:rFonts w:eastAsia="Calibri"/>
                              <w:szCs w:val="24"/>
                              <w:lang w:eastAsia="lt-LT"/>
                            </w:rPr>
                          </w:pPr>
                          <w:sdt>
                            <w:sdtPr>
                              <w:alias w:val="Numeris"/>
                              <w:tag w:val="nr_57b922b2188047aaa15e9eff473e5d36"/>
                              <w:lock w:val="sdtLocked"/>
                              <w:richText/>
                            </w:sdtPr>
                            <w:sdtContent>
                              <w:r>
                                <w:rPr>
                                  <w:rFonts w:eastAsia="Calibri"/>
                                  <w:szCs w:val="24"/>
                                  <w:lang w:eastAsia="lt-LT"/>
                                </w:rPr>
                                <w:t>19.3.1</w:t>
                              </w:r>
                            </w:sdtContent>
                          </w:sdt>
                          <w:r>
                            <w:rPr>
                              <w:rFonts w:eastAsia="Calibri"/>
                              <w:szCs w:val="24"/>
                              <w:lang w:eastAsia="lt-LT"/>
                            </w:rPr>
                            <w:t>. užpildytą Fizinių asmenų anketą, kurios duomenys apie pinigines lėšas, esančias banko įstaigose, turi būti patvirtinti atitinkamais dokumentais;</w:t>
                          </w:r>
                        </w:p>
                      </w:sdtContent>
                    </w:sdt>
                    <w:sdt>
                      <w:sdtPr>
                        <w:alias w:val="19.3.2 pp."/>
                        <w:tag w:val="part_8a06e265cdc0445787c9cdfddc5fecc2"/>
                        <w:lock w:val="sdtLocked"/>
                        <w:richText/>
                      </w:sdtPr>
                      <w:sdtContent>
                        <w:p>
                          <w:pPr>
                            <w:ind w:firstLine="680"/>
                            <w:jc w:val="both"/>
                            <w:rPr>
                              <w:rFonts w:eastAsia="Calibri"/>
                              <w:szCs w:val="24"/>
                              <w:lang w:eastAsia="lt-LT"/>
                            </w:rPr>
                          </w:pPr>
                          <w:sdt>
                            <w:sdtPr>
                              <w:alias w:val="Numeris"/>
                              <w:tag w:val="nr_8a06e265cdc0445787c9cdfddc5fecc2"/>
                              <w:lock w:val="sdtLocked"/>
                              <w:richText/>
                            </w:sdtPr>
                            <w:sdtContent>
                              <w:r>
                                <w:rPr>
                                  <w:rFonts w:eastAsia="Calibri"/>
                                  <w:szCs w:val="24"/>
                                  <w:lang w:eastAsia="lt-LT"/>
                                </w:rPr>
                                <w:t>19.3.2</w:t>
                              </w:r>
                            </w:sdtContent>
                          </w:sdt>
                          <w:r>
                            <w:rPr>
                              <w:rFonts w:eastAsia="Calibri"/>
                              <w:szCs w:val="24"/>
                              <w:lang w:eastAsia="lt-LT"/>
                            </w:rPr>
                            <w:t>. dokumentus, kurie įrodo, kad yra realių galimybių atsiskaityti su biudžetu tuo atveju, jeigu mokestinės nepriemokos ar baudos už administracinį nusižengimą mokėjimas būtų atidėtas ir (ar) išdėstytas.</w:t>
                          </w:r>
                        </w:p>
                      </w:sdtContent>
                    </w:sdt>
                  </w:sdtContent>
                </w:sdt>
              </w:sdtContent>
            </w:sdt>
            <w:sdt>
              <w:sdtPr>
                <w:alias w:val="20 p."/>
                <w:tag w:val="part_3240d8f66949437b853bc1980b89b5af"/>
                <w:lock w:val="sdtLocked"/>
                <w:richText/>
              </w:sdtPr>
              <w:sdtContent>
                <w:p>
                  <w:pPr>
                    <w:ind w:firstLine="680"/>
                    <w:jc w:val="both"/>
                  </w:pPr>
                  <w:sdt>
                    <w:sdtPr>
                      <w:alias w:val="Numeris"/>
                      <w:tag w:val="nr_3240d8f66949437b853bc1980b89b5af"/>
                      <w:lock w:val="sdtLocked"/>
                      <w:richText/>
                    </w:sdtPr>
                    <w:sdtContent>
                      <w:r>
                        <w:t>2</w:t>
                      </w:r>
                      <w:r>
                        <w:rPr>
                          <w:lang w:val="en-US"/>
                        </w:rPr>
                        <w:t>0</w:t>
                      </w:r>
                    </w:sdtContent>
                  </w:sdt>
                  <w:r>
                    <w:t>.</w:t>
                  </w:r>
                  <w:r>
                    <w:rPr>
                      <w:vertAlign w:val="superscript"/>
                    </w:rPr>
                    <w:t xml:space="preserve"> </w:t>
                  </w:r>
                  <w:r>
                    <w:t xml:space="preserve">Jei mokėtojas neturi galimybės pateikti </w:t>
                  </w:r>
                  <w:r>
                    <w:rPr>
                      <w:szCs w:val="24"/>
                    </w:rPr>
                    <w:t>Taisyklių</w:t>
                  </w:r>
                  <w:r>
                    <w:t xml:space="preserve"> 19</w:t>
                  </w:r>
                  <w:r>
                    <w:rPr>
                      <w:color w:val="FF0000"/>
                    </w:rPr>
                    <w:t xml:space="preserve"> </w:t>
                  </w:r>
                  <w:r>
                    <w:t xml:space="preserve">punkte nurodytų dokumentų (pavyzdžiui, teisės aktai neįpareigoja tvarkyti prašomų pateikti apskaitos dokumentų, bankai nėra suteikę paskolų, banko sąskaita yra uždaryta ir kita), jis apie tai privalo informuoti </w:t>
                  </w:r>
                  <w:r>
                    <w:rPr>
                      <w:szCs w:val="22"/>
                    </w:rPr>
                    <w:t xml:space="preserve">mokesčių administratorių </w:t>
                  </w:r>
                  <w:r>
                    <w:rPr>
                      <w:szCs w:val="24"/>
                    </w:rPr>
                    <w:t>Taisyklių</w:t>
                  </w:r>
                  <w:r>
                    <w:rPr>
                      <w:color w:val="FF0000"/>
                      <w:szCs w:val="22"/>
                    </w:rPr>
                    <w:t xml:space="preserve"> </w:t>
                  </w:r>
                  <w:r>
                    <w:rPr>
                      <w:szCs w:val="22"/>
                    </w:rPr>
                    <w:t>25 punkte nustatytais būdais</w:t>
                  </w:r>
                  <w:r>
                    <w:t xml:space="preserve">. </w:t>
                  </w:r>
                </w:p>
              </w:sdtContent>
            </w:sdt>
            <w:sdt>
              <w:sdtPr>
                <w:alias w:val="21 p."/>
                <w:tag w:val="part_b273e1ff4f9a47e6b05bc1d4a64d3c82"/>
                <w:lock w:val="sdtLocked"/>
                <w:richText/>
              </w:sdtPr>
              <w:sdtContent>
                <w:p>
                  <w:pPr>
                    <w:ind w:firstLine="680"/>
                    <w:jc w:val="both"/>
                  </w:pPr>
                  <w:sdt>
                    <w:sdtPr>
                      <w:alias w:val="Numeris"/>
                      <w:tag w:val="nr_b273e1ff4f9a47e6b05bc1d4a64d3c82"/>
                      <w:lock w:val="sdtLocked"/>
                      <w:richText/>
                    </w:sdtPr>
                    <w:sdtContent>
                      <w:r>
                        <w:rPr>
                          <w:szCs w:val="24"/>
                        </w:rPr>
                        <w:t>21</w:t>
                      </w:r>
                    </w:sdtContent>
                  </w:sdt>
                  <w:r>
                    <w:rPr>
                      <w:szCs w:val="24"/>
                    </w:rPr>
                    <w:t>.</w:t>
                  </w:r>
                  <w:r>
                    <w:rPr>
                      <w:szCs w:val="24"/>
                      <w:vertAlign w:val="superscript"/>
                    </w:rPr>
                    <w:t xml:space="preserve"> </w:t>
                  </w:r>
                  <w:r>
                    <w:rPr>
                      <w:szCs w:val="24"/>
                    </w:rPr>
                    <w:t>Taisyklių</w:t>
                  </w:r>
                  <w:r>
                    <w:rPr>
                      <w:color w:val="FF0000"/>
                    </w:rPr>
                    <w:t xml:space="preserve"> </w:t>
                  </w:r>
                  <w:r>
                    <w:t xml:space="preserve">19 punkte nurodyti dokumentai neteikiami, jeigu mokėtojas neturi galiojančių Mokestinės paskolos sutarčių arba dėl prašomos atidėti ir (ar) išdėstyti mokestinės nepriemokos ar išdėstyti baudos už administracinį nusižengimą (ar jų dalies) nebuvo priimtas mokesčių administratoriaus Sprendimas, kuriuo netenkinamas Prašymas ir neatidedamas ir (ar) neišdėstomas mokestinės nepriemokos ar baudos už administracinį nusižengimą mokėjimas, ir:  </w:t>
                  </w:r>
                </w:p>
                <w:p>
                  <w:pPr>
                    <w:ind w:firstLine="68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sdt>
                  <w:sdtPr>
                    <w:alias w:val="21.1 pp."/>
                    <w:tag w:val="part_9259552bdcd34ae6a8b858fe0fd7a620"/>
                    <w:lock w:val="sdtLocked"/>
                    <w:richText/>
                  </w:sdtPr>
                  <w:sdtContent>
                    <w:p>
                      <w:pPr>
                        <w:ind w:firstLine="680"/>
                        <w:jc w:val="both"/>
                      </w:pPr>
                      <w:sdt>
                        <w:sdtPr>
                          <w:alias w:val="Numeris"/>
                          <w:tag w:val="nr_9259552bdcd34ae6a8b858fe0fd7a620"/>
                          <w:lock w:val="sdtLocked"/>
                          <w:richText/>
                        </w:sdtPr>
                        <w:sdtContent>
                          <w:r>
                            <w:rPr>
                              <w:szCs w:val="24"/>
                            </w:rPr>
                            <w:t>21</w:t>
                          </w:r>
                          <w:r>
                            <w:t>.1</w:t>
                          </w:r>
                        </w:sdtContent>
                      </w:sdt>
                      <w:r>
                        <w:t xml:space="preserve">. mokesčių mokėtojas – juridinis asmuo, prašo išdėstyti mokestinę nepriemoką, kai: </w:t>
                      </w:r>
                    </w:p>
                    <w:sdt>
                      <w:sdtPr>
                        <w:alias w:val="21.1.1 pp."/>
                        <w:tag w:val="part_7c66d07a8d9f44a284ce84eb6518807e"/>
                        <w:lock w:val="sdtLocked"/>
                        <w:richText/>
                      </w:sdtPr>
                      <w:sdtContent>
                        <w:p>
                          <w:pPr>
                            <w:ind w:firstLine="680"/>
                            <w:jc w:val="both"/>
                          </w:pPr>
                          <w:sdt>
                            <w:sdtPr>
                              <w:alias w:val="Numeris"/>
                              <w:tag w:val="nr_7c66d07a8d9f44a284ce84eb6518807e"/>
                              <w:lock w:val="sdtLocked"/>
                              <w:richText/>
                            </w:sdtPr>
                            <w:sdtContent>
                              <w:r>
                                <w:rPr>
                                  <w:szCs w:val="24"/>
                                </w:rPr>
                                <w:t>21</w:t>
                              </w:r>
                              <w:r>
                                <w:t>.1.1</w:t>
                              </w:r>
                            </w:sdtContent>
                          </w:sdt>
                          <w:r>
                            <w:t xml:space="preserve">. mokestinės nepriemokos suma neviršija 20 000 Eur; </w:t>
                          </w:r>
                        </w:p>
                      </w:sdtContent>
                    </w:sdt>
                    <w:sdt>
                      <w:sdtPr>
                        <w:alias w:val="21.1.2 pp."/>
                        <w:tag w:val="part_d4b35f5f5aee4b888ed531cc339e84ea"/>
                        <w:lock w:val="sdtLocked"/>
                        <w:richText/>
                      </w:sdtPr>
                      <w:sdtContent>
                        <w:p>
                          <w:pPr>
                            <w:ind w:firstLine="680"/>
                            <w:jc w:val="both"/>
                          </w:pPr>
                          <w:sdt>
                            <w:sdtPr>
                              <w:alias w:val="Numeris"/>
                              <w:tag w:val="nr_d4b35f5f5aee4b888ed531cc339e84ea"/>
                              <w:lock w:val="sdtLocked"/>
                              <w:richText/>
                            </w:sdtPr>
                            <w:sdtContent>
                              <w:r>
                                <w:rPr>
                                  <w:szCs w:val="24"/>
                                </w:rPr>
                                <w:t>21</w:t>
                              </w:r>
                              <w:r>
                                <w:t>.1.2</w:t>
                              </w:r>
                            </w:sdtContent>
                          </w:sdt>
                          <w:r>
                            <w:t xml:space="preserve">. prašomas mokėjimo išdėstymo laikotarpis neviršija 12 mėnesių, skaičiuojant nuo Prašymo </w:t>
                          </w:r>
                          <w:r>
                            <w:rPr>
                              <w:szCs w:val="24"/>
                            </w:rPr>
                            <w:t>atidėti ir (ar) išdėstyti mokestinės nepriemokos mokėjimą</w:t>
                          </w:r>
                          <w:r>
                            <w:t xml:space="preserve"> pateikimo datos, mokėjimus išdėstant lygiomis dalimis kas mėnesį; </w:t>
                          </w:r>
                        </w:p>
                      </w:sdtContent>
                    </w:sdt>
                  </w:sdtContent>
                </w:sdt>
                <w:sdt>
                  <w:sdtPr>
                    <w:alias w:val="21.2 pp."/>
                    <w:tag w:val="part_7eff7556f8b3466f9e1756fbc97f16a9"/>
                    <w:lock w:val="sdtLocked"/>
                    <w:richText/>
                  </w:sdtPr>
                  <w:sdtContent>
                    <w:p>
                      <w:pPr>
                        <w:ind w:firstLine="680"/>
                        <w:jc w:val="both"/>
                      </w:pPr>
                      <w:sdt>
                        <w:sdtPr>
                          <w:alias w:val="Numeris"/>
                          <w:tag w:val="nr_7eff7556f8b3466f9e1756fbc97f16a9"/>
                          <w:lock w:val="sdtLocked"/>
                          <w:richText/>
                        </w:sdtPr>
                        <w:sdtContent>
                          <w:r>
                            <w:rPr>
                              <w:szCs w:val="24"/>
                            </w:rPr>
                            <w:t>21</w:t>
                          </w:r>
                          <w:r>
                            <w:t>.2</w:t>
                          </w:r>
                        </w:sdtContent>
                      </w:sdt>
                      <w:r>
                        <w:t>. mokesčių mokėtojas – fizinis asmuo, prašo išdėstyti mokestinę nepriemoką, kai:</w:t>
                      </w:r>
                    </w:p>
                    <w:sdt>
                      <w:sdtPr>
                        <w:alias w:val="21.2.1 pp."/>
                        <w:tag w:val="part_8045f87a5fcd43d4b3921e4ffd0a675f"/>
                        <w:lock w:val="sdtLocked"/>
                        <w:richText/>
                      </w:sdtPr>
                      <w:sdtContent>
                        <w:p>
                          <w:pPr>
                            <w:ind w:firstLine="680"/>
                            <w:jc w:val="both"/>
                          </w:pPr>
                          <w:sdt>
                            <w:sdtPr>
                              <w:alias w:val="Numeris"/>
                              <w:tag w:val="nr_8045f87a5fcd43d4b3921e4ffd0a675f"/>
                              <w:lock w:val="sdtLocked"/>
                              <w:richText/>
                            </w:sdtPr>
                            <w:sdtContent>
                              <w:r>
                                <w:rPr>
                                  <w:szCs w:val="24"/>
                                </w:rPr>
                                <w:t>21</w:t>
                              </w:r>
                              <w:r>
                                <w:t>.2.1</w:t>
                              </w:r>
                            </w:sdtContent>
                          </w:sdt>
                          <w:r>
                            <w:t xml:space="preserve">. mokestinės nepriemokos suma neviršija 6 000 Eur; </w:t>
                          </w:r>
                        </w:p>
                      </w:sdtContent>
                    </w:sdt>
                    <w:sdt>
                      <w:sdtPr>
                        <w:alias w:val="21.2.2 pp."/>
                        <w:tag w:val="part_f79136fd544b4e58ad74e8d2833f102c"/>
                        <w:lock w:val="sdtLocked"/>
                        <w:richText/>
                      </w:sdtPr>
                      <w:sdtContent>
                        <w:p>
                          <w:pPr>
                            <w:ind w:firstLine="680"/>
                            <w:jc w:val="both"/>
                          </w:pPr>
                          <w:sdt>
                            <w:sdtPr>
                              <w:alias w:val="Numeris"/>
                              <w:tag w:val="nr_f79136fd544b4e58ad74e8d2833f102c"/>
                              <w:lock w:val="sdtLocked"/>
                              <w:richText/>
                            </w:sdtPr>
                            <w:sdtContent>
                              <w:r>
                                <w:rPr>
                                  <w:szCs w:val="24"/>
                                </w:rPr>
                                <w:t>21</w:t>
                              </w:r>
                              <w:r>
                                <w:t>.2.2</w:t>
                              </w:r>
                            </w:sdtContent>
                          </w:sdt>
                          <w:r>
                            <w:t xml:space="preserve">. prašomas mokėjimo išdėstymo laikotarpis neviršija 24 mėnesių, skaičiuojant nuo Prašymo </w:t>
                          </w:r>
                          <w:r>
                            <w:rPr>
                              <w:szCs w:val="24"/>
                            </w:rPr>
                            <w:t>atidėti ir (ar) išdėstyti mokestinės nepriemokos mokėjimą</w:t>
                          </w:r>
                          <w:r>
                            <w:t xml:space="preserve"> pateikimo datos, mokėjimus išdėstant lygiomis dalimis kas mėnesį; </w:t>
                          </w:r>
                        </w:p>
                      </w:sdtContent>
                    </w:sdt>
                  </w:sdtContent>
                </w:sdt>
                <w:sdt>
                  <w:sdtPr>
                    <w:alias w:val="21.3 pp."/>
                    <w:tag w:val="part_96bd502e223f4b08bab49fd28672aeb7"/>
                    <w:lock w:val="sdtLocked"/>
                    <w:richText/>
                  </w:sdtPr>
                  <w:sdtContent>
                    <w:p>
                      <w:pPr>
                        <w:ind w:firstLine="680"/>
                        <w:jc w:val="both"/>
                      </w:pPr>
                      <w:sdt>
                        <w:sdtPr>
                          <w:alias w:val="Numeris"/>
                          <w:tag w:val="nr_96bd502e223f4b08bab49fd28672aeb7"/>
                          <w:lock w:val="sdtLocked"/>
                          <w:richText/>
                        </w:sdtPr>
                        <w:sdtContent>
                          <w:r>
                            <w:rPr>
                              <w:szCs w:val="24"/>
                            </w:rPr>
                            <w:t>21</w:t>
                          </w:r>
                          <w:r>
                            <w:t>.3</w:t>
                          </w:r>
                        </w:sdtContent>
                      </w:sdt>
                      <w:r>
                        <w:t xml:space="preserve">. mokesčių mokėtojas – fizinis asmuo, prašo išdėstyti baudą už administracinį nusižengimą, kai: </w:t>
                      </w:r>
                    </w:p>
                    <w:sdt>
                      <w:sdtPr>
                        <w:alias w:val="21.3.1 pp."/>
                        <w:tag w:val="part_43e6027f060e42209550a80c403fe621"/>
                        <w:lock w:val="sdtLocked"/>
                        <w:richText/>
                      </w:sdtPr>
                      <w:sdtContent>
                        <w:p>
                          <w:pPr>
                            <w:ind w:firstLine="680"/>
                            <w:jc w:val="both"/>
                          </w:pPr>
                          <w:sdt>
                            <w:sdtPr>
                              <w:alias w:val="Numeris"/>
                              <w:tag w:val="nr_43e6027f060e42209550a80c403fe621"/>
                              <w:lock w:val="sdtLocked"/>
                              <w:richText/>
                            </w:sdtPr>
                            <w:sdtContent>
                              <w:r>
                                <w:rPr>
                                  <w:szCs w:val="24"/>
                                </w:rPr>
                                <w:t>21</w:t>
                              </w:r>
                              <w:r>
                                <w:t>.3.1</w:t>
                              </w:r>
                            </w:sdtContent>
                          </w:sdt>
                          <w:r>
                            <w:t xml:space="preserve">. baudos už administracinį nusižengimą suma neviršija 1 200 Eur; </w:t>
                          </w:r>
                        </w:p>
                      </w:sdtContent>
                    </w:sdt>
                    <w:sdt>
                      <w:sdtPr>
                        <w:alias w:val="21.3.2 pp."/>
                        <w:tag w:val="part_84e3bfdbec434a4ea1ffef21e4d6afb4"/>
                        <w:lock w:val="sdtLocked"/>
                        <w:richText/>
                      </w:sdtPr>
                      <w:sdtContent>
                        <w:p>
                          <w:pPr>
                            <w:ind w:firstLine="680"/>
                            <w:jc w:val="both"/>
                            <w:rPr>
                              <w:rFonts w:eastAsia="Calibri"/>
                              <w:szCs w:val="24"/>
                              <w:lang w:eastAsia="lt-LT"/>
                            </w:rPr>
                          </w:pPr>
                          <w:sdt>
                            <w:sdtPr>
                              <w:alias w:val="Numeris"/>
                              <w:tag w:val="nr_84e3bfdbec434a4ea1ffef21e4d6afb4"/>
                              <w:lock w:val="sdtLocked"/>
                              <w:richText/>
                            </w:sdtPr>
                            <w:sdtContent>
                              <w:r>
                                <w:rPr>
                                  <w:szCs w:val="24"/>
                                </w:rPr>
                                <w:t>21</w:t>
                              </w:r>
                              <w:r>
                                <w:t>.3.2</w:t>
                              </w:r>
                            </w:sdtContent>
                          </w:sdt>
                          <w:r>
                            <w:t xml:space="preserve">. prašomas mokėjimo išdėstymo laikotarpis neviršija 12 mėnesių, skaičiuojant nuo Prašymo išdėstyti baudos už administracinį nusižengimą mokėjimą pateikimo datos, mokėjimus išdėstant lygiomis dalimis kas mėnesį. </w:t>
                          </w:r>
                        </w:p>
                      </w:sdtContent>
                    </w:sdt>
                  </w:sdtContent>
                </w:sdt>
              </w:sdtContent>
            </w:sdt>
            <w:sdt>
              <w:sdtPr>
                <w:alias w:val="22 p."/>
                <w:tag w:val="part_878afdb8f042429684d2718e1be90e36"/>
                <w:lock w:val="sdtLocked"/>
                <w:richText/>
              </w:sdtPr>
              <w:sdtContent>
                <w:p>
                  <w:pPr>
                    <w:ind w:firstLine="680"/>
                    <w:jc w:val="both"/>
                    <w:rPr>
                      <w:rFonts w:eastAsia="Calibri"/>
                      <w:szCs w:val="24"/>
                      <w:lang w:eastAsia="lt-LT"/>
                    </w:rPr>
                  </w:pPr>
                  <w:sdt>
                    <w:sdtPr>
                      <w:alias w:val="Numeris"/>
                      <w:tag w:val="nr_878afdb8f042429684d2718e1be90e36"/>
                      <w:lock w:val="sdtLocked"/>
                      <w:richText/>
                    </w:sdtPr>
                    <w:sdtContent>
                      <w:r>
                        <w:rPr>
                          <w:rFonts w:eastAsia="Calibri"/>
                          <w:szCs w:val="24"/>
                          <w:lang w:eastAsia="lt-LT"/>
                        </w:rPr>
                        <w:t>22</w:t>
                      </w:r>
                    </w:sdtContent>
                  </w:sdt>
                  <w:r>
                    <w:rPr>
                      <w:rFonts w:eastAsia="Calibri"/>
                      <w:szCs w:val="24"/>
                      <w:lang w:eastAsia="lt-LT"/>
                    </w:rPr>
                    <w:t xml:space="preserve">. Jei prašoma atidėti ir (ar) išdėstyta mokestinė nepriemoka atsirado dėl iš biudžeto lėšų dengtinos asignavimų valdytojų skolos ir neįvykdytų finansinių įsipareigojimų Prašymą </w:t>
                  </w:r>
                  <w:r>
                    <w:rPr>
                      <w:szCs w:val="24"/>
                    </w:rPr>
                    <w:t>atidėti ir (ar) išdėstyti mokestinės nepriemokos mokėjimą</w:t>
                  </w:r>
                  <w:r>
                    <w:t xml:space="preserve"> </w:t>
                  </w:r>
                  <w:r>
                    <w:rPr>
                      <w:rFonts w:eastAsia="Calibri"/>
                      <w:szCs w:val="24"/>
                      <w:lang w:eastAsia="lt-LT"/>
                    </w:rPr>
                    <w:t>teikiančiam mokesčių mokėtojui, mokesčių mokėtojas turi pateikti dokumentus (tarpusavio skolų suderinimo aktus ir (ar) kitus dokumentus), kurie pagrindžia dėl neįvykdytų finansinių įsipareigojimų atsiradusią ir iš biudžeto lėšų dengtiną asignavimų valdytojų skolą.</w:t>
                  </w:r>
                </w:p>
              </w:sdtContent>
            </w:sdt>
            <w:sdt>
              <w:sdtPr>
                <w:alias w:val="23 p."/>
                <w:tag w:val="part_44cce303651c49869fcbdb09a409e41d"/>
                <w:lock w:val="sdtLocked"/>
                <w:richText/>
              </w:sdtPr>
              <w:sdtContent>
                <w:p>
                  <w:pPr>
                    <w:ind w:firstLine="680"/>
                    <w:jc w:val="both"/>
                    <w:rPr>
                      <w:rFonts w:eastAsia="Calibri"/>
                      <w:szCs w:val="24"/>
                      <w:lang w:eastAsia="lt-LT"/>
                    </w:rPr>
                  </w:pPr>
                  <w:sdt>
                    <w:sdtPr>
                      <w:alias w:val="Numeris"/>
                      <w:tag w:val="nr_44cce303651c49869fcbdb09a409e41d"/>
                      <w:lock w:val="sdtLocked"/>
                      <w:richText/>
                    </w:sdtPr>
                    <w:sdtContent>
                      <w:r>
                        <w:rPr>
                          <w:rFonts w:eastAsia="Calibri"/>
                          <w:szCs w:val="24"/>
                          <w:lang w:eastAsia="lt-LT"/>
                        </w:rPr>
                        <w:t>23</w:t>
                      </w:r>
                    </w:sdtContent>
                  </w:sdt>
                  <w:r>
                    <w:rPr>
                      <w:rFonts w:eastAsia="Calibri"/>
                      <w:szCs w:val="24"/>
                      <w:lang w:eastAsia="lt-LT"/>
                    </w:rPr>
                    <w:t>. Mokesčių administratorius,</w:t>
                  </w:r>
                  <w:r>
                    <w:rPr>
                      <w:rFonts w:eastAsia="Calibri"/>
                      <w:b/>
                      <w:szCs w:val="24"/>
                      <w:lang w:eastAsia="lt-LT"/>
                    </w:rPr>
                    <w:t xml:space="preserve"> </w:t>
                  </w:r>
                  <w:r>
                    <w:rPr>
                      <w:rFonts w:eastAsia="Calibri"/>
                      <w:szCs w:val="24"/>
                      <w:lang w:eastAsia="lt-LT"/>
                    </w:rPr>
                    <w:t xml:space="preserve">įvertinęs savo turimus duomenis, iš mokėtojo gali paprašyti ir kitų papildomų duomenų (dokumentų) tuo atveju, kai Prašymas atitinka </w:t>
                  </w:r>
                  <w:r>
                    <w:rPr>
                      <w:szCs w:val="24"/>
                    </w:rPr>
                    <w:t>Taisyklių</w:t>
                  </w:r>
                  <w:r>
                    <w:rPr>
                      <w:rFonts w:eastAsia="Calibri"/>
                      <w:szCs w:val="24"/>
                      <w:lang w:eastAsia="lt-LT"/>
                    </w:rPr>
                    <w:t xml:space="preserve"> </w:t>
                  </w:r>
                  <w:r>
                    <w:rPr>
                      <w:szCs w:val="24"/>
                    </w:rPr>
                    <w:t>21</w:t>
                  </w:r>
                  <w:r>
                    <w:rPr>
                      <w:szCs w:val="24"/>
                      <w:vertAlign w:val="superscript"/>
                    </w:rPr>
                    <w:t xml:space="preserve"> </w:t>
                  </w:r>
                  <w:r>
                    <w:rPr>
                      <w:rFonts w:eastAsia="Calibri"/>
                      <w:szCs w:val="24"/>
                      <w:lang w:eastAsia="lt-LT"/>
                    </w:rPr>
                    <w:t>punkto reikalavimus.</w:t>
                  </w:r>
                  <w:r>
                    <w:rPr>
                      <w:rFonts w:eastAsia="Calibri"/>
                      <w:b/>
                      <w:szCs w:val="24"/>
                      <w:lang w:eastAsia="lt-LT"/>
                    </w:rPr>
                    <w:t xml:space="preserve"> </w:t>
                  </w:r>
                  <w:r>
                    <w:rPr>
                      <w:rFonts w:eastAsia="Calibri"/>
                      <w:szCs w:val="24"/>
                      <w:lang w:eastAsia="lt-LT"/>
                    </w:rPr>
                    <w:t>Papildomi duomenys (dokumentai) reikalingi Sprendimui priimti.</w:t>
                  </w:r>
                </w:p>
              </w:sdtContent>
            </w:sdt>
            <w:sdt>
              <w:sdtPr>
                <w:alias w:val="24 p."/>
                <w:tag w:val="part_66f0486970e54da5a964f97833af3ec3"/>
                <w:lock w:val="sdtLocked"/>
                <w:richText/>
              </w:sdtPr>
              <w:sdtContent>
                <w:p>
                  <w:pPr>
                    <w:ind w:firstLine="680"/>
                    <w:jc w:val="both"/>
                    <w:rPr>
                      <w:rFonts w:eastAsia="Calibri"/>
                      <w:b/>
                      <w:szCs w:val="24"/>
                      <w:lang w:eastAsia="lt-LT"/>
                    </w:rPr>
                  </w:pPr>
                  <w:sdt>
                    <w:sdtPr>
                      <w:alias w:val="Numeris"/>
                      <w:tag w:val="nr_66f0486970e54da5a964f97833af3ec3"/>
                      <w:lock w:val="sdtLocked"/>
                      <w:richText/>
                    </w:sdtPr>
                    <w:sdtContent>
                      <w:r>
                        <w:rPr>
                          <w:rFonts w:eastAsia="Calibri"/>
                          <w:szCs w:val="24"/>
                          <w:lang w:eastAsia="lt-LT"/>
                        </w:rPr>
                        <w:t>24</w:t>
                      </w:r>
                    </w:sdtContent>
                  </w:sdt>
                  <w:r>
                    <w:rPr>
                      <w:rFonts w:eastAsia="Calibri"/>
                      <w:szCs w:val="24"/>
                      <w:lang w:eastAsia="lt-LT"/>
                    </w:rPr>
                    <w:t xml:space="preserve">. </w:t>
                  </w:r>
                  <w:r>
                    <w:rPr>
                      <w:szCs w:val="24"/>
                    </w:rPr>
                    <w:t>Taisyklių</w:t>
                  </w:r>
                  <w:r>
                    <w:rPr>
                      <w:rFonts w:eastAsia="Calibri"/>
                      <w:szCs w:val="24"/>
                      <w:lang w:eastAsia="lt-LT"/>
                    </w:rPr>
                    <w:t xml:space="preserve"> prieduose yra pateiktos rekomenduojamos mokesčių mokėtojo teikiamų Prašymui nagrinėti reikalingų dokumentų formos. Nurodytas formas rekomenduotina teikti </w:t>
                  </w:r>
                  <w:r>
                    <w:rPr>
                      <w:rFonts w:eastAsia="Calibri"/>
                      <w:i/>
                      <w:szCs w:val="24"/>
                      <w:lang w:eastAsia="lt-LT"/>
                    </w:rPr>
                    <w:t>Microsoft Office Excel</w:t>
                  </w:r>
                  <w:r>
                    <w:rPr>
                      <w:rFonts w:eastAsia="Calibri"/>
                      <w:szCs w:val="24"/>
                      <w:lang w:eastAsia="lt-LT"/>
                    </w:rPr>
                    <w:t xml:space="preserve"> arba </w:t>
                  </w:r>
                  <w:r>
                    <w:rPr>
                      <w:rFonts w:eastAsia="Calibri"/>
                      <w:i/>
                      <w:szCs w:val="24"/>
                      <w:lang w:eastAsia="lt-LT"/>
                    </w:rPr>
                    <w:t>Word</w:t>
                  </w:r>
                  <w:r>
                    <w:rPr>
                      <w:rFonts w:eastAsia="Calibri"/>
                      <w:szCs w:val="24"/>
                      <w:lang w:eastAsia="lt-LT"/>
                    </w:rPr>
                    <w:t xml:space="preserve"> formatu.</w:t>
                  </w:r>
                </w:p>
              </w:sdtContent>
            </w:sdt>
            <w:sdt>
              <w:sdtPr>
                <w:alias w:val="25 p."/>
                <w:tag w:val="part_1d299a8565124cca85f6a8fa7e8fa086"/>
                <w:lock w:val="sdtLocked"/>
                <w:richText/>
              </w:sdtPr>
              <w:sdtContent>
                <w:p>
                  <w:pPr>
                    <w:tabs>
                      <w:tab w:val="left" w:pos="8222"/>
                    </w:tabs>
                    <w:ind w:firstLine="680"/>
                    <w:jc w:val="both"/>
                    <w:rPr>
                      <w:rFonts w:eastAsia="Calibri"/>
                      <w:szCs w:val="24"/>
                      <w:lang w:eastAsia="lt-LT"/>
                    </w:rPr>
                  </w:pPr>
                  <w:sdt>
                    <w:sdtPr>
                      <w:alias w:val="Numeris"/>
                      <w:tag w:val="nr_1d299a8565124cca85f6a8fa7e8fa086"/>
                      <w:lock w:val="sdtLocked"/>
                      <w:richText/>
                    </w:sdtPr>
                    <w:sdtContent>
                      <w:r>
                        <w:rPr>
                          <w:rFonts w:eastAsia="Calibri"/>
                          <w:szCs w:val="24"/>
                          <w:lang w:eastAsia="lt-LT"/>
                        </w:rPr>
                        <w:t>25</w:t>
                      </w:r>
                    </w:sdtContent>
                  </w:sdt>
                  <w:r>
                    <w:rPr>
                      <w:rFonts w:eastAsia="Calibri"/>
                      <w:szCs w:val="24"/>
                      <w:lang w:eastAsia="lt-LT"/>
                    </w:rPr>
                    <w:t>. Mokėtojas (ar jo įgaliotas asmuo) Prašymą ir kitus dokumentus, susijusius su mokestinės nepriemokos ar baudos už administracinį nusižengimą</w:t>
                  </w:r>
                  <w:r>
                    <w:rPr>
                      <w:rFonts w:eastAsia="Calibri"/>
                      <w:b/>
                      <w:szCs w:val="24"/>
                      <w:lang w:eastAsia="lt-LT"/>
                    </w:rPr>
                    <w:t xml:space="preserve"> </w:t>
                  </w:r>
                  <w:r>
                    <w:rPr>
                      <w:rFonts w:eastAsia="Calibri"/>
                      <w:szCs w:val="24"/>
                      <w:lang w:eastAsia="lt-LT"/>
                    </w:rPr>
                    <w:t>mokėjimo atidėjimu ir (ar) išdėstymu, mokesčių administratoriui teikia:</w:t>
                  </w:r>
                </w:p>
                <w:sdt>
                  <w:sdtPr>
                    <w:alias w:val="25.1 pp."/>
                    <w:tag w:val="part_4db5eff7da7b4bb0a74bf9afd0c31aba"/>
                    <w:lock w:val="sdtLocked"/>
                    <w:richText/>
                  </w:sdtPr>
                  <w:sdtContent>
                    <w:p>
                      <w:pPr>
                        <w:ind w:firstLine="680"/>
                        <w:jc w:val="both"/>
                        <w:rPr>
                          <w:rFonts w:eastAsia="Calibri"/>
                          <w:szCs w:val="24"/>
                          <w:lang w:eastAsia="lt-LT"/>
                        </w:rPr>
                      </w:pPr>
                      <w:sdt>
                        <w:sdtPr>
                          <w:alias w:val="Numeris"/>
                          <w:tag w:val="nr_4db5eff7da7b4bb0a74bf9afd0c31aba"/>
                          <w:lock w:val="sdtLocked"/>
                          <w:richText/>
                        </w:sdtPr>
                        <w:sdtContent>
                          <w:r>
                            <w:rPr>
                              <w:rFonts w:eastAsia="Calibri"/>
                              <w:szCs w:val="24"/>
                              <w:lang w:eastAsia="lt-LT"/>
                            </w:rPr>
                            <w:t>25.1</w:t>
                          </w:r>
                        </w:sdtContent>
                      </w:sdt>
                      <w:r>
                        <w:rPr>
                          <w:rFonts w:eastAsia="Calibri"/>
                          <w:szCs w:val="24"/>
                          <w:lang w:eastAsia="lt-LT"/>
                        </w:rPr>
                        <w:t>. elektroniniu būdu – per Valstybinės mokesčių inspekcijos portalo e. VMI autorizuotų elektroninių paslaugų sritį Mano VMI, siūlomomis autentifikavimo priemonėmis patvirtinęs savo tapatybę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 nustatyta tvarka. Jeigu mokesčių mokėtojas – fizinis asmuo, neturi galimybės naudotis informacinių ryšių technologinėmis priemonėmis, tai Prašymą jis gali užpildyti ir pateikti elektroniniu būdu, atvykęs į bet kurią apskrities valstybinę mokesčių inspekciją (toliau – AVMI), kurioje yra mokėtojams skirta kompiuterizuota darbo vieta su interneto prieiga;</w:t>
                      </w:r>
                    </w:p>
                  </w:sdtContent>
                </w:sdt>
                <w:sdt>
                  <w:sdtPr>
                    <w:alias w:val="25.2 pp."/>
                    <w:tag w:val="part_ea853a4653ae4cbe81acf3f8f8d3f224"/>
                    <w:lock w:val="sdtLocked"/>
                    <w:richText/>
                  </w:sdtPr>
                  <w:sdtContent>
                    <w:p>
                      <w:pPr>
                        <w:ind w:firstLine="680"/>
                        <w:jc w:val="both"/>
                        <w:rPr>
                          <w:rFonts w:eastAsia="Calibri"/>
                          <w:szCs w:val="24"/>
                          <w:lang w:eastAsia="lt-LT"/>
                        </w:rPr>
                      </w:pPr>
                      <w:sdt>
                        <w:sdtPr>
                          <w:alias w:val="Numeris"/>
                          <w:tag w:val="nr_ea853a4653ae4cbe81acf3f8f8d3f224"/>
                          <w:lock w:val="sdtLocked"/>
                          <w:richText/>
                        </w:sdtPr>
                        <w:sdtContent>
                          <w:r>
                            <w:rPr>
                              <w:rFonts w:eastAsia="Calibri"/>
                              <w:szCs w:val="24"/>
                              <w:lang w:eastAsia="lt-LT"/>
                            </w:rPr>
                            <w:t>25.2</w:t>
                          </w:r>
                        </w:sdtContent>
                      </w:sdt>
                      <w:r>
                        <w:rPr>
                          <w:rFonts w:eastAsia="Calibri"/>
                          <w:szCs w:val="24"/>
                          <w:lang w:eastAsia="lt-LT"/>
                        </w:rPr>
                        <w:t xml:space="preserve">. jeigu mokėtojas – fizinis asmuo, išskyrus fizinį asmenį, vykdantį individualią veiklą, </w:t>
                      </w:r>
                      <w:r>
                        <w:rPr>
                          <w:szCs w:val="24"/>
                        </w:rPr>
                        <w:t xml:space="preserve">nurodytą Taisyklių </w:t>
                      </w:r>
                      <w:r>
                        <w:rPr>
                          <w:rFonts w:eastAsia="Calibri"/>
                          <w:szCs w:val="24"/>
                          <w:lang w:eastAsia="lt-LT"/>
                        </w:rPr>
                        <w:t>19.2 papunktyje, arba jo įgaliotas asmuo neturi galimybės Prašymą teikti elektroniniu būdu arba elektroninis pateikimo būdas lemtų akivaizdžiai neproporcingą administracinę naštą, Prašymą mokėtojas gali pateikti raštu:</w:t>
                      </w:r>
                      <w:r>
                        <w:t xml:space="preserve"> </w:t>
                      </w:r>
                    </w:p>
                    <w:p>
                      <w:pPr>
                        <w:ind w:firstLine="680"/>
                        <w:jc w:val="both"/>
                        <w:rPr>
                          <w:rFonts w:eastAsia="Calibri"/>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sdt>
                      <w:sdtPr>
                        <w:alias w:val="25.2.1 pp."/>
                        <w:tag w:val="part_e03a1257f2af4e829e59aa06937ba667"/>
                        <w:lock w:val="sdtLocked"/>
                        <w:richText/>
                      </w:sdtPr>
                      <w:sdtContent>
                        <w:p>
                          <w:pPr>
                            <w:ind w:firstLine="680"/>
                            <w:jc w:val="both"/>
                            <w:rPr>
                              <w:rFonts w:eastAsia="Calibri"/>
                              <w:szCs w:val="24"/>
                              <w:lang w:eastAsia="lt-LT"/>
                            </w:rPr>
                          </w:pPr>
                          <w:sdt>
                            <w:sdtPr>
                              <w:alias w:val="Numeris"/>
                              <w:tag w:val="nr_e03a1257f2af4e829e59aa06937ba667"/>
                              <w:lock w:val="sdtLocked"/>
                              <w:richText/>
                            </w:sdtPr>
                            <w:sdtContent>
                              <w:r>
                                <w:rPr>
                                  <w:rFonts w:eastAsia="Calibri"/>
                                  <w:szCs w:val="24"/>
                                  <w:lang w:eastAsia="lt-LT"/>
                                </w:rPr>
                                <w:t>25.2.1</w:t>
                              </w:r>
                            </w:sdtContent>
                          </w:sdt>
                          <w:r>
                            <w:rPr>
                              <w:rFonts w:eastAsia="Calibri"/>
                              <w:szCs w:val="24"/>
                              <w:lang w:eastAsia="lt-LT"/>
                            </w:rPr>
                            <w:t xml:space="preserve">. įteikti mokesčių administratoriui tiesiogiai, atvykęs į Valstybinę mokesčių inspekciją prie Lietuvos Respublikos finansų ministerijos (toliau </w:t>
                          </w:r>
                          <w:r>
                            <w:rPr>
                              <w:rFonts w:ascii="Calibri" w:eastAsia="Calibri" w:hAnsi="Calibri" w:cs="Calibri"/>
                              <w:szCs w:val="24"/>
                              <w:lang w:eastAsia="lt-LT"/>
                            </w:rPr>
                            <w:t>‒</w:t>
                          </w:r>
                          <w:r>
                            <w:rPr>
                              <w:rFonts w:eastAsia="Calibri"/>
                              <w:szCs w:val="24"/>
                              <w:lang w:eastAsia="lt-LT"/>
                            </w:rPr>
                            <w:t xml:space="preserve"> VMI prie FM) arba AVMI jų skelbiamais adresais;</w:t>
                          </w:r>
                        </w:p>
                      </w:sdtContent>
                    </w:sdt>
                    <w:sdt>
                      <w:sdtPr>
                        <w:alias w:val="25.2.2 pp."/>
                        <w:tag w:val="part_cf740a2430884d76a6c8c9cd522e9397"/>
                        <w:lock w:val="sdtLocked"/>
                        <w:richText/>
                      </w:sdtPr>
                      <w:sdtContent>
                        <w:p>
                          <w:pPr>
                            <w:ind w:firstLine="680"/>
                            <w:jc w:val="both"/>
                            <w:rPr>
                              <w:rFonts w:eastAsia="Calibri"/>
                              <w:szCs w:val="24"/>
                              <w:lang w:eastAsia="lt-LT"/>
                            </w:rPr>
                          </w:pPr>
                          <w:sdt>
                            <w:sdtPr>
                              <w:alias w:val="Numeris"/>
                              <w:tag w:val="nr_cf740a2430884d76a6c8c9cd522e9397"/>
                              <w:lock w:val="sdtLocked"/>
                              <w:richText/>
                            </w:sdtPr>
                            <w:sdtContent>
                              <w:r>
                                <w:rPr>
                                  <w:rFonts w:eastAsia="Calibri"/>
                                  <w:szCs w:val="24"/>
                                  <w:lang w:eastAsia="lt-LT"/>
                                </w:rPr>
                                <w:t>25.2.2</w:t>
                              </w:r>
                            </w:sdtContent>
                          </w:sdt>
                          <w:r>
                            <w:rPr>
                              <w:rFonts w:eastAsia="Calibri"/>
                              <w:szCs w:val="24"/>
                              <w:lang w:eastAsia="lt-LT"/>
                            </w:rPr>
                            <w:t>. atsiųsti paštu (registruotu laišku) ar per pasiuntinių (kurjerių) įmones į VMI prie FM arba AVMI jų skelbiamais adresais;</w:t>
                          </w:r>
                        </w:p>
                      </w:sdtContent>
                    </w:sdt>
                  </w:sdtContent>
                </w:sdt>
                <w:sdt>
                  <w:sdtPr>
                    <w:alias w:val="25.3 pp."/>
                    <w:tag w:val="part_b39bcfe8fd2146f2806811cd764a54a3"/>
                    <w:lock w:val="sdtLocked"/>
                    <w:richText/>
                  </w:sdtPr>
                  <w:sdtContent>
                    <w:p>
                      <w:pPr>
                        <w:ind w:firstLine="680"/>
                        <w:jc w:val="both"/>
                        <w:rPr>
                          <w:b/>
                          <w:szCs w:val="24"/>
                        </w:rPr>
                      </w:pPr>
                      <w:sdt>
                        <w:sdtPr>
                          <w:alias w:val="Numeris"/>
                          <w:tag w:val="nr_b39bcfe8fd2146f2806811cd764a54a3"/>
                          <w:lock w:val="sdtLocked"/>
                          <w:richText/>
                        </w:sdtPr>
                        <w:sdtContent>
                          <w:r>
                            <w:rPr>
                              <w:rFonts w:eastAsia="Calibri"/>
                              <w:szCs w:val="24"/>
                              <w:lang w:eastAsia="lt-LT"/>
                            </w:rPr>
                            <w:t>25.3</w:t>
                          </w:r>
                        </w:sdtContent>
                      </w:sdt>
                      <w:r>
                        <w:rPr>
                          <w:rFonts w:eastAsia="Calibri"/>
                          <w:szCs w:val="24"/>
                          <w:lang w:eastAsia="lt-LT"/>
                        </w:rPr>
                        <w:t xml:space="preserve">. atsiųsti Valstybinės mokesčių inspekcijos bendruoju elektroninio pašto adresu vmi@vmi.lt, išskyrus fizinį asmenį, vykdantį individualią veiklą, </w:t>
                      </w:r>
                      <w:r>
                        <w:rPr>
                          <w:szCs w:val="24"/>
                        </w:rPr>
                        <w:t xml:space="preserve">nurodytą Taisyklių </w:t>
                      </w:r>
                      <w:r>
                        <w:rPr>
                          <w:rFonts w:eastAsia="Calibri"/>
                          <w:szCs w:val="24"/>
                          <w:lang w:eastAsia="lt-LT"/>
                        </w:rPr>
                        <w:t xml:space="preserve">19.2 papunktyje, </w:t>
                      </w:r>
                      <w:r>
                        <w:t>tokiu būdu, kuris leidžia Prašymą teikiantį mokesčių mokėtoją ‒ fizinį asmenį identifikuoti arba patikrinti Prašymo autentiškumą</w:t>
                      </w:r>
                      <w:r>
                        <w:rPr>
                          <w:rFonts w:eastAsia="Calibr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Content>
            </w:sdt>
          </w:sdtContent>
        </w:sdt>
        <w:sdt>
          <w:sdtPr>
            <w:alias w:val="skyrius"/>
            <w:tag w:val="part_bcc2b3c8fb5947ad87fa4488b8582e43"/>
            <w:lock w:val="sdtLocked"/>
            <w:richText/>
          </w:sdtPr>
          <w:sdtContent>
            <w:p>
              <w:pPr>
                <w:jc w:val="center"/>
                <w:rPr>
                  <w:b/>
                  <w:szCs w:val="24"/>
                </w:rPr>
              </w:pPr>
              <w:sdt>
                <w:sdtPr>
                  <w:alias w:val="Numeris"/>
                  <w:tag w:val="nr_bcc2b3c8fb5947ad87fa4488b8582e43"/>
                  <w:lock w:val="sdtLocked"/>
                  <w:richText/>
                </w:sdtPr>
                <w:sdtContent>
                  <w:r>
                    <w:rPr>
                      <w:b/>
                      <w:szCs w:val="24"/>
                    </w:rPr>
                    <w:t>III</w:t>
                  </w:r>
                </w:sdtContent>
              </w:sdt>
              <w:r>
                <w:rPr>
                  <w:b/>
                  <w:szCs w:val="24"/>
                </w:rPr>
                <w:t xml:space="preserve"> SKYRIUS</w:t>
              </w:r>
            </w:p>
            <w:p>
              <w:pPr>
                <w:jc w:val="center"/>
                <w:rPr>
                  <w:b/>
                  <w:szCs w:val="24"/>
                </w:rPr>
              </w:pPr>
              <w:sdt>
                <w:sdtPr>
                  <w:alias w:val="Pavadinimas"/>
                  <w:tag w:val="title_bcc2b3c8fb5947ad87fa4488b8582e43"/>
                  <w:lock w:val="sdtLocked"/>
                  <w:richText/>
                </w:sdtPr>
                <w:sdtContent>
                  <w:r>
                    <w:rPr>
                      <w:b/>
                      <w:szCs w:val="24"/>
                    </w:rPr>
                    <w:t>PRAŠYMO NAGRINĖJIMAS</w:t>
                  </w:r>
                </w:sdtContent>
              </w:sdt>
            </w:p>
            <w:p>
              <w:pPr>
                <w:ind w:firstLine="680"/>
                <w:jc w:val="center"/>
                <w:rPr>
                  <w:sz w:val="16"/>
                  <w:szCs w:val="16"/>
                </w:rPr>
              </w:pPr>
            </w:p>
            <w:sdt>
              <w:sdtPr>
                <w:alias w:val="26 p."/>
                <w:tag w:val="part_3090484c1bf64a92872e982dfa14e94f"/>
                <w:lock w:val="sdtLocked"/>
                <w:richText/>
              </w:sdtPr>
              <w:sdtContent>
                <w:p>
                  <w:pPr>
                    <w:ind w:firstLine="680"/>
                    <w:jc w:val="both"/>
                    <w:rPr>
                      <w:szCs w:val="24"/>
                    </w:rPr>
                  </w:pPr>
                  <w:sdt>
                    <w:sdtPr>
                      <w:alias w:val="Numeris"/>
                      <w:tag w:val="nr_3090484c1bf64a92872e982dfa14e94f"/>
                      <w:lock w:val="sdtLocked"/>
                      <w:richText/>
                    </w:sdtPr>
                    <w:sdtContent>
                      <w:r>
                        <w:rPr>
                          <w:szCs w:val="24"/>
                        </w:rPr>
                        <w:t>26</w:t>
                      </w:r>
                    </w:sdtContent>
                  </w:sdt>
                  <w:r>
                    <w:rPr>
                      <w:szCs w:val="24"/>
                    </w:rPr>
                    <w:t xml:space="preserve">. Jeigu mokesčių administratorius nustato, kad Prašymas neatitinka Taisyklių 17–19 punktuose nustatytų reikalavimų, mokesčių administratorius ne vėliau kaip per 10 darbo dienų nuo tos dienos, kai gavo iš mokėtojo Prašymą, pareikalauja patikslinti Prašymą ir (ar) pridėti papildomus dokumentus, kurių reikia Sprendimui priimti, ir nustato šių dokumentų patikslinimo ir (ar) papildymo 10 darbo dienų terminą. </w:t>
                  </w:r>
                </w:p>
              </w:sdtContent>
            </w:sdt>
            <w:sdt>
              <w:sdtPr>
                <w:alias w:val="27 p."/>
                <w:tag w:val="part_57da477aa2ab42a4bdb245f3687277d0"/>
                <w:lock w:val="sdtLocked"/>
                <w:richText/>
              </w:sdtPr>
              <w:sdtContent>
                <w:p>
                  <w:pPr>
                    <w:ind w:firstLine="680"/>
                    <w:jc w:val="both"/>
                    <w:rPr>
                      <w:szCs w:val="24"/>
                    </w:rPr>
                  </w:pPr>
                  <w:sdt>
                    <w:sdtPr>
                      <w:alias w:val="Numeris"/>
                      <w:tag w:val="nr_57da477aa2ab42a4bdb245f3687277d0"/>
                      <w:lock w:val="sdtLocked"/>
                      <w:richText/>
                    </w:sdtPr>
                    <w:sdtContent>
                      <w:r>
                        <w:rPr>
                          <w:szCs w:val="24"/>
                        </w:rPr>
                        <w:t>27</w:t>
                      </w:r>
                    </w:sdtContent>
                  </w:sdt>
                  <w:r>
                    <w:rPr>
                      <w:szCs w:val="24"/>
                    </w:rPr>
                    <w:t>. Mokėtojas ne vėliau kaip per 10 darbo dienų nuo mokesčių administratoriaus prašymo pateikti reikalingą patikslintą informaciją gavimo dienos turi pateikti reikalingą patikslintą informaciją ir (ar) dokumentus. Jei mokėtojas per nurodytą terminą negali pateikti prašomos informacijos ir (ar) dokumentų, jis turi pateikti mokesčių administratoriui motyvuotą prašymą pratęsti tam tikslui duotą terminą. Mokesčių administratorius ne vėliau kaip per 10 darbo dienų nuo tokio prašymo gavimo dienos turi parengti mokėtojui atsakymą, kuriuo gali patikslintos informacijos pateikimo terminą pratęsti ne daugiau kaip 10 darbo dienų arba motyvuotai atsisakyti jį pratęsti.</w:t>
                  </w:r>
                </w:p>
              </w:sdtContent>
            </w:sdt>
            <w:sdt>
              <w:sdtPr>
                <w:alias w:val="28 p."/>
                <w:tag w:val="part_f75f81252f0b4d97a6cad8b1981805c5"/>
                <w:lock w:val="sdtLocked"/>
                <w:richText/>
              </w:sdtPr>
              <w:sdtContent>
                <w:p>
                  <w:pPr>
                    <w:ind w:firstLine="680"/>
                    <w:jc w:val="both"/>
                    <w:rPr>
                      <w:szCs w:val="24"/>
                    </w:rPr>
                  </w:pPr>
                  <w:sdt>
                    <w:sdtPr>
                      <w:alias w:val="Numeris"/>
                      <w:tag w:val="nr_f75f81252f0b4d97a6cad8b1981805c5"/>
                      <w:lock w:val="sdtLocked"/>
                      <w:richText/>
                    </w:sdtPr>
                    <w:sdtContent>
                      <w:r>
                        <w:rPr>
                          <w:szCs w:val="24"/>
                        </w:rPr>
                        <w:t>28</w:t>
                      </w:r>
                    </w:sdtContent>
                  </w:sdt>
                  <w:r>
                    <w:rPr>
                      <w:szCs w:val="24"/>
                    </w:rPr>
                    <w:t>. Jeigu mokėtojas per 10 darbo dienų arba per pratęstą terminą nepateikia patikslintos informacijos ir (ar) dokumentų, Prašymas laikomas atmestu.</w:t>
                  </w:r>
                </w:p>
              </w:sdtContent>
            </w:sdt>
            <w:sdt>
              <w:sdtPr>
                <w:alias w:val="29 p."/>
                <w:tag w:val="part_f34912ba0faf4c31b1e3b0d4127dbaec"/>
                <w:lock w:val="sdtLocked"/>
                <w:richText/>
              </w:sdtPr>
              <w:sdtContent>
                <w:p>
                  <w:pPr>
                    <w:ind w:firstLine="680"/>
                    <w:jc w:val="both"/>
                    <w:rPr>
                      <w:szCs w:val="24"/>
                    </w:rPr>
                  </w:pPr>
                  <w:sdt>
                    <w:sdtPr>
                      <w:alias w:val="Numeris"/>
                      <w:tag w:val="nr_f34912ba0faf4c31b1e3b0d4127dbaec"/>
                      <w:lock w:val="sdtLocked"/>
                      <w:richText/>
                    </w:sdtPr>
                    <w:sdtContent>
                      <w:r>
                        <w:rPr>
                          <w:szCs w:val="24"/>
                        </w:rPr>
                        <w:t>29</w:t>
                      </w:r>
                    </w:sdtContent>
                  </w:sdt>
                  <w:r>
                    <w:rPr>
                      <w:szCs w:val="24"/>
                    </w:rPr>
                    <w:t xml:space="preserve">. Mokesčių administratorius per 20 darbo dienų nuo Prašymo ar visų Prašymui nagrinėti reikalingų dokumentų ir (ar) informacijos gavimo dienos: </w:t>
                  </w:r>
                </w:p>
                <w:sdt>
                  <w:sdtPr>
                    <w:alias w:val="29.1 pp."/>
                    <w:tag w:val="part_00fd7bae0aee466eb9fd819f7be25af9"/>
                    <w:lock w:val="sdtLocked"/>
                    <w:richText/>
                  </w:sdtPr>
                  <w:sdtContent>
                    <w:p>
                      <w:pPr>
                        <w:ind w:firstLine="680"/>
                        <w:jc w:val="both"/>
                        <w:rPr>
                          <w:szCs w:val="24"/>
                        </w:rPr>
                      </w:pPr>
                      <w:sdt>
                        <w:sdtPr>
                          <w:alias w:val="Numeris"/>
                          <w:tag w:val="nr_00fd7bae0aee466eb9fd819f7be25af9"/>
                          <w:lock w:val="sdtLocked"/>
                          <w:richText/>
                        </w:sdtPr>
                        <w:sdtContent>
                          <w:r>
                            <w:rPr>
                              <w:szCs w:val="24"/>
                            </w:rPr>
                            <w:t>29.1</w:t>
                          </w:r>
                        </w:sdtContent>
                      </w:sdt>
                      <w:r>
                        <w:rPr>
                          <w:szCs w:val="24"/>
                        </w:rPr>
                        <w:t xml:space="preserve">. priima Sprendimą atidėti ir (ar) išdėstyti mokestinės nepriemokos mokėjimą, išdėstyti baudos už administracinį nusižengimą mokėjimą ir jį įteikia mokėtojui; </w:t>
                      </w:r>
                    </w:p>
                  </w:sdtContent>
                </w:sdt>
                <w:sdt>
                  <w:sdtPr>
                    <w:alias w:val="29.2 pp."/>
                    <w:tag w:val="part_40b61556ea2c4c478610b3c1e2b69104"/>
                    <w:lock w:val="sdtLocked"/>
                    <w:richText/>
                  </w:sdtPr>
                  <w:sdtContent>
                    <w:p>
                      <w:pPr>
                        <w:ind w:firstLine="680"/>
                        <w:jc w:val="both"/>
                        <w:rPr>
                          <w:szCs w:val="24"/>
                        </w:rPr>
                      </w:pPr>
                      <w:sdt>
                        <w:sdtPr>
                          <w:alias w:val="Numeris"/>
                          <w:tag w:val="nr_40b61556ea2c4c478610b3c1e2b69104"/>
                          <w:lock w:val="sdtLocked"/>
                          <w:richText/>
                        </w:sdtPr>
                        <w:sdtContent>
                          <w:r>
                            <w:rPr>
                              <w:szCs w:val="24"/>
                            </w:rPr>
                            <w:t>29.2</w:t>
                          </w:r>
                        </w:sdtContent>
                      </w:sdt>
                      <w:r>
                        <w:rPr>
                          <w:szCs w:val="24"/>
                        </w:rPr>
                        <w:t>. priima Sprendimą neatidėti ir (ar) neišdėstyti mokestinės nepriemokos mokėjimą, neišdėstyti baudos už administracinį nusižengimą mokėjimą ir su motyvuota išvada, kurioje yra nurodyti Prašymo netenkinimo motyvai, jį įteikia mokėtojui.</w:t>
                      </w:r>
                    </w:p>
                  </w:sdtContent>
                </w:sdt>
              </w:sdtContent>
            </w:sdt>
            <w:sdt>
              <w:sdtPr>
                <w:alias w:val="30 p."/>
                <w:tag w:val="part_e001563962fd4e208bd68711159c7196"/>
                <w:lock w:val="sdtLocked"/>
                <w:richText/>
              </w:sdtPr>
              <w:sdtContent>
                <w:p>
                  <w:pPr>
                    <w:ind w:firstLine="680"/>
                    <w:jc w:val="both"/>
                    <w:rPr>
                      <w:szCs w:val="24"/>
                    </w:rPr>
                  </w:pPr>
                  <w:sdt>
                    <w:sdtPr>
                      <w:alias w:val="Numeris"/>
                      <w:tag w:val="nr_e001563962fd4e208bd68711159c7196"/>
                      <w:lock w:val="sdtLocked"/>
                      <w:richText/>
                    </w:sdtPr>
                    <w:sdtContent>
                      <w:r>
                        <w:rPr>
                          <w:szCs w:val="24"/>
                        </w:rPr>
                        <w:t>30</w:t>
                      </w:r>
                    </w:sdtContent>
                  </w:sdt>
                  <w:r>
                    <w:rPr>
                      <w:szCs w:val="24"/>
                    </w:rPr>
                    <w:t>. Jeigu mokesčių mokėtojas prašo atidėti ir (ar) išdėstyti dar nesusidariusios mokestinės nepriemokos mokėjimą, Sprendimas dėl to gali būti priimtas ne anksčiau nei prievolės sumokėjimo terminas.</w:t>
                  </w:r>
                </w:p>
              </w:sdtContent>
            </w:sdt>
            <w:sdt>
              <w:sdtPr>
                <w:alias w:val="31 p."/>
                <w:tag w:val="part_bc471ea92588470f9f2169abd2e8abfb"/>
                <w:lock w:val="sdtLocked"/>
                <w:richText/>
              </w:sdtPr>
              <w:sdtContent>
                <w:p>
                  <w:pPr>
                    <w:ind w:firstLine="680"/>
                    <w:jc w:val="both"/>
                    <w:rPr>
                      <w:szCs w:val="24"/>
                    </w:rPr>
                  </w:pPr>
                  <w:sdt>
                    <w:sdtPr>
                      <w:alias w:val="Numeris"/>
                      <w:tag w:val="nr_bc471ea92588470f9f2169abd2e8abfb"/>
                      <w:lock w:val="sdtLocked"/>
                      <w:richText/>
                    </w:sdtPr>
                    <w:sdtContent>
                      <w:r>
                        <w:rPr>
                          <w:szCs w:val="24"/>
                        </w:rPr>
                        <w:t>31</w:t>
                      </w:r>
                    </w:sdtContent>
                  </w:sdt>
                  <w:r>
                    <w:rPr>
                      <w:szCs w:val="24"/>
                    </w:rPr>
                    <w:t>. Jeigu asmuo, kuriam paskirta bauda už administracinį nusižengimą, prašo išdėstyti baudos už administracinį nusižengimą mokėjimą, Spendimas dėl to gali būti priimtas ne anksčiau nei pasibaigia ANK 675 straipsnio 2 dalyje numatyto baudos sumokėjimo terminas.</w:t>
                  </w:r>
                </w:p>
              </w:sdtContent>
            </w:sdt>
            <w:sdt>
              <w:sdtPr>
                <w:alias w:val="32 p."/>
                <w:tag w:val="part_ec7764b832964b0c82f9ff3176d5e9f1"/>
                <w:lock w:val="sdtLocked"/>
                <w:richText/>
              </w:sdtPr>
              <w:sdtContent>
                <w:p>
                  <w:pPr>
                    <w:ind w:firstLine="680"/>
                    <w:jc w:val="both"/>
                    <w:rPr>
                      <w:szCs w:val="24"/>
                    </w:rPr>
                  </w:pPr>
                  <w:sdt>
                    <w:sdtPr>
                      <w:alias w:val="Numeris"/>
                      <w:tag w:val="nr_ec7764b832964b0c82f9ff3176d5e9f1"/>
                      <w:lock w:val="sdtLocked"/>
                      <w:richText/>
                    </w:sdtPr>
                    <w:sdtContent>
                      <w:r>
                        <w:rPr>
                          <w:szCs w:val="24"/>
                        </w:rPr>
                        <w:t>32</w:t>
                      </w:r>
                    </w:sdtContent>
                  </w:sdt>
                  <w:r>
                    <w:rPr>
                      <w:szCs w:val="24"/>
                    </w:rPr>
                    <w:t xml:space="preserve">. Mokesčių administratorius, vadovaudamasis MAĮ 110 straipsnio 3 dalimi, turi teisę mokestinės nepriemokos ar baudos už administracinį nusižengimą, kurios mokėjimą prašoma atidėti ir (ar) išdėstyti, išieškojimo nepradėti arba jį sustabdyti nuo tos dienos, kai gauna mokėtojo Prašymą, iki Mokestinės paskolos sutarties sudarymo dienos arba iki dienos, kurią priimamas Sprendimas, kuriuo neatidedamas ir (ar) neišdėstomas mokėjimo terminas. Priverstinių išieškojimo veiksmų stabdymas ar jų nepradėjimas nėra kliūtis mokestinei nepriemokai, kurios mokėjimą prašoma atidėti ir (ar) išdėstyti, taikyti bet kokią mokestinės prievolės įvykdymo užtikrinimo priemonę, numatytą </w:t>
                  </w:r>
                  <w:r>
                    <w:rPr>
                      <w:iCs/>
                      <w:color w:val="000000"/>
                      <w:szCs w:val="24"/>
                    </w:rPr>
                    <w:t>MAĮ</w:t>
                  </w:r>
                  <w:r>
                    <w:rPr>
                      <w:szCs w:val="24"/>
                    </w:rPr>
                    <w:t xml:space="preserve">. </w:t>
                  </w:r>
                </w:p>
              </w:sdtContent>
            </w:sdt>
            <w:sdt>
              <w:sdtPr>
                <w:alias w:val="33 p."/>
                <w:tag w:val="part_f3a4796d68174fd8a0abcf4a6b9d7a1a"/>
                <w:lock w:val="sdtLocked"/>
                <w:richText/>
              </w:sdtPr>
              <w:sdtContent>
                <w:p>
                  <w:pPr>
                    <w:ind w:firstLine="680"/>
                    <w:jc w:val="both"/>
                    <w:rPr>
                      <w:rFonts w:eastAsia="MS Mincho"/>
                      <w:szCs w:val="24"/>
                      <w:lang w:eastAsia="ja-JP"/>
                    </w:rPr>
                  </w:pPr>
                  <w:sdt>
                    <w:sdtPr>
                      <w:alias w:val="Numeris"/>
                      <w:tag w:val="nr_f3a4796d68174fd8a0abcf4a6b9d7a1a"/>
                      <w:lock w:val="sdtLocked"/>
                      <w:richText/>
                    </w:sdtPr>
                    <w:sdtContent>
                      <w:r>
                        <w:rPr>
                          <w:rFonts w:eastAsia="MS Mincho"/>
                          <w:szCs w:val="24"/>
                          <w:lang w:eastAsia="ja-JP"/>
                        </w:rPr>
                        <w:t>33</w:t>
                      </w:r>
                    </w:sdtContent>
                  </w:sdt>
                  <w:r>
                    <w:rPr>
                      <w:rFonts w:eastAsia="MS Mincho"/>
                      <w:szCs w:val="24"/>
                      <w:lang w:eastAsia="ja-JP"/>
                    </w:rPr>
                    <w:t>. Išieškojimo veiksmai nestabdomi arba pradedami, kai gaunamas mokėtojo pakartotinis Prašymas dėl tos pačios mokestinės nepriemokos arba baudos už administracinį nusižengimą mokėjimo atidėjimo ir (ar) išdėstymo po to, kai:</w:t>
                  </w:r>
                </w:p>
                <w:sdt>
                  <w:sdtPr>
                    <w:alias w:val="33.1 pp."/>
                    <w:tag w:val="part_765ad7c8675c49368272e2da10147e33"/>
                    <w:lock w:val="sdtLocked"/>
                    <w:richText/>
                  </w:sdtPr>
                  <w:sdtContent>
                    <w:p>
                      <w:pPr>
                        <w:ind w:firstLine="680"/>
                        <w:jc w:val="both"/>
                        <w:rPr>
                          <w:rFonts w:eastAsia="MS Mincho"/>
                          <w:szCs w:val="24"/>
                          <w:lang w:eastAsia="ja-JP"/>
                        </w:rPr>
                      </w:pPr>
                      <w:sdt>
                        <w:sdtPr>
                          <w:alias w:val="Numeris"/>
                          <w:tag w:val="nr_765ad7c8675c49368272e2da10147e33"/>
                          <w:lock w:val="sdtLocked"/>
                          <w:richText/>
                        </w:sdtPr>
                        <w:sdtContent>
                          <w:r>
                            <w:rPr>
                              <w:rFonts w:eastAsia="MS Mincho"/>
                              <w:szCs w:val="24"/>
                              <w:lang w:eastAsia="ja-JP"/>
                            </w:rPr>
                            <w:t>33.1</w:t>
                          </w:r>
                        </w:sdtContent>
                      </w:sdt>
                      <w:r>
                        <w:rPr>
                          <w:rFonts w:eastAsia="MS Mincho"/>
                          <w:szCs w:val="24"/>
                          <w:lang w:eastAsia="ja-JP"/>
                        </w:rPr>
                        <w:t>.</w:t>
                      </w:r>
                      <w:r>
                        <w:rPr>
                          <w:rFonts w:eastAsia="MS Mincho"/>
                          <w:szCs w:val="24"/>
                        </w:rPr>
                        <w:t xml:space="preserve"> buvo </w:t>
                      </w:r>
                      <w:r>
                        <w:rPr>
                          <w:rFonts w:eastAsia="MS Mincho"/>
                          <w:szCs w:val="24"/>
                          <w:lang w:eastAsia="ja-JP"/>
                        </w:rPr>
                        <w:t xml:space="preserve">priimtas Sprendimas neišdėstyti ir (ar) neatidėti mokestinės nepriemokos ir neišdėstyti baudos už administracinį nusižengimą mokėjimo ir, kreipdamasis pakartotinai, mokėtojas nepateikė naujų motyvų, dėl kurių gali būti priimtas Sprendimas atidėti ir (ar) išdėstyti mokestinės nepriemokos ar baudos už administracinį nusižengimą mokėjimą; </w:t>
                      </w:r>
                    </w:p>
                  </w:sdtContent>
                </w:sdt>
                <w:sdt>
                  <w:sdtPr>
                    <w:alias w:val="33.2 pp."/>
                    <w:tag w:val="part_b353a8748daf4ca2963305d93bccbac6"/>
                    <w:lock w:val="sdtLocked"/>
                    <w:richText/>
                  </w:sdtPr>
                  <w:sdtContent>
                    <w:p>
                      <w:pPr>
                        <w:ind w:firstLine="680"/>
                        <w:jc w:val="both"/>
                        <w:rPr>
                          <w:rFonts w:eastAsia="MS Mincho"/>
                          <w:szCs w:val="24"/>
                          <w:lang w:eastAsia="ja-JP"/>
                        </w:rPr>
                      </w:pPr>
                      <w:sdt>
                        <w:sdtPr>
                          <w:alias w:val="Numeris"/>
                          <w:tag w:val="nr_b353a8748daf4ca2963305d93bccbac6"/>
                          <w:lock w:val="sdtLocked"/>
                          <w:richText/>
                        </w:sdtPr>
                        <w:sdtContent>
                          <w:r>
                            <w:rPr>
                              <w:rFonts w:eastAsia="MS Mincho"/>
                              <w:szCs w:val="24"/>
                              <w:lang w:eastAsia="ja-JP"/>
                            </w:rPr>
                            <w:t>33.2</w:t>
                          </w:r>
                        </w:sdtContent>
                      </w:sdt>
                      <w:r>
                        <w:rPr>
                          <w:rFonts w:eastAsia="MS Mincho"/>
                          <w:szCs w:val="24"/>
                          <w:lang w:eastAsia="ja-JP"/>
                        </w:rPr>
                        <w:t>. per paskutinius 3 mėnesius mokėtojas trečią ar daugiau kartų pateikia Prašymą atidėti ir (ar) išdėstyti tos pačios mokestinės nepriemokos arba baudos už administracinį nusižengimą mokėjimą, todėl raštu buvo prašoma patikslinti Prašymą ir pateikti trūkstamus dokumentus.</w:t>
                      </w:r>
                    </w:p>
                  </w:sdtContent>
                </w:sdt>
              </w:sdtContent>
            </w:sdt>
            <w:sdt>
              <w:sdtPr>
                <w:alias w:val="34 p."/>
                <w:tag w:val="part_e7ad2967eab241f99f28318a03f0a515"/>
                <w:lock w:val="sdtLocked"/>
                <w:richText/>
              </w:sdtPr>
              <w:sdtContent>
                <w:p>
                  <w:pPr>
                    <w:ind w:firstLine="680"/>
                    <w:jc w:val="both"/>
                    <w:rPr>
                      <w:szCs w:val="24"/>
                    </w:rPr>
                  </w:pPr>
                  <w:sdt>
                    <w:sdtPr>
                      <w:alias w:val="Numeris"/>
                      <w:tag w:val="nr_e7ad2967eab241f99f28318a03f0a515"/>
                      <w:lock w:val="sdtLocked"/>
                      <w:richText/>
                    </w:sdtPr>
                    <w:sdtContent>
                      <w:r>
                        <w:rPr>
                          <w:szCs w:val="24"/>
                        </w:rPr>
                        <w:t>34</w:t>
                      </w:r>
                    </w:sdtContent>
                  </w:sdt>
                  <w:r>
                    <w:rPr>
                      <w:szCs w:val="24"/>
                    </w:rPr>
                    <w:t xml:space="preserve">. Prašymo nagrinėjimas nutraukiamas, jeigu gaunama (mokėtojas pateikia arba mokesčių administratorius sužino) informacija, kad mokėtojas apskundė mokestinės nepriemokos apskaičiavimo arba baudos už administracinį nusižengimą paskyrimo pagrįstumą ar atsiranda bent vienas iš Taisyklių </w:t>
                  </w:r>
                  <w:r>
                    <w:rPr>
                      <w:szCs w:val="24"/>
                      <w:lang w:val="en-US"/>
                    </w:rPr>
                    <w:t xml:space="preserve">52.2–52.8 </w:t>
                  </w:r>
                  <w:r>
                    <w:rPr>
                      <w:szCs w:val="24"/>
                    </w:rPr>
                    <w:t>papunkčiuose nurodytų pagrindų.</w:t>
                  </w:r>
                </w:p>
                <w:p>
                  <w:pPr>
                    <w:ind w:firstLine="680"/>
                    <w:jc w:val="center"/>
                    <w:rPr>
                      <w:szCs w:val="24"/>
                    </w:rPr>
                  </w:pPr>
                </w:p>
              </w:sdtContent>
            </w:sdt>
          </w:sdtContent>
        </w:sdt>
        <w:sdt>
          <w:sdtPr>
            <w:alias w:val="skyrius"/>
            <w:tag w:val="part_8c3cb862044c4e518f98849d602d6656"/>
            <w:lock w:val="sdtLocked"/>
            <w:richText/>
          </w:sdtPr>
          <w:sdtContent>
            <w:p>
              <w:pPr>
                <w:jc w:val="center"/>
                <w:rPr>
                  <w:b/>
                  <w:szCs w:val="24"/>
                </w:rPr>
              </w:pPr>
              <w:sdt>
                <w:sdtPr>
                  <w:alias w:val="Numeris"/>
                  <w:tag w:val="nr_8c3cb862044c4e518f98849d602d6656"/>
                  <w:lock w:val="sdtLocked"/>
                  <w:richText/>
                </w:sdtPr>
                <w:sdtContent>
                  <w:r>
                    <w:rPr>
                      <w:b/>
                      <w:szCs w:val="24"/>
                    </w:rPr>
                    <w:t>IV</w:t>
                  </w:r>
                </w:sdtContent>
              </w:sdt>
              <w:r>
                <w:rPr>
                  <w:b/>
                  <w:szCs w:val="24"/>
                </w:rPr>
                <w:t xml:space="preserve"> SKYRIUS</w:t>
              </w:r>
            </w:p>
            <w:p>
              <w:pPr>
                <w:jc w:val="center"/>
                <w:rPr>
                  <w:b/>
                  <w:szCs w:val="24"/>
                </w:rPr>
              </w:pPr>
              <w:sdt>
                <w:sdtPr>
                  <w:alias w:val="Pavadinimas"/>
                  <w:tag w:val="title_8c3cb862044c4e518f98849d602d6656"/>
                  <w:lock w:val="sdtLocked"/>
                  <w:richText/>
                </w:sdtPr>
                <w:sdtContent>
                  <w:r>
                    <w:rPr>
                      <w:b/>
                      <w:szCs w:val="24"/>
                    </w:rPr>
                    <w:t>SPRENDIMO VYKDYMAS</w:t>
                  </w:r>
                </w:sdtContent>
              </w:sdt>
            </w:p>
            <w:p>
              <w:pPr>
                <w:ind w:firstLine="680"/>
                <w:jc w:val="center"/>
                <w:rPr>
                  <w:szCs w:val="24"/>
                </w:rPr>
              </w:pPr>
            </w:p>
            <w:sdt>
              <w:sdtPr>
                <w:alias w:val="35 p."/>
                <w:tag w:val="part_4aee04b7703345ffa7a10fc032c37cc6"/>
                <w:lock w:val="sdtLocked"/>
                <w:richText/>
              </w:sdtPr>
              <w:sdtContent>
                <w:p>
                  <w:pPr>
                    <w:ind w:firstLine="680"/>
                    <w:jc w:val="both"/>
                    <w:rPr>
                      <w:szCs w:val="24"/>
                    </w:rPr>
                  </w:pPr>
                  <w:sdt>
                    <w:sdtPr>
                      <w:alias w:val="Numeris"/>
                      <w:tag w:val="nr_4aee04b7703345ffa7a10fc032c37cc6"/>
                      <w:lock w:val="sdtLocked"/>
                      <w:richText/>
                    </w:sdtPr>
                    <w:sdtContent>
                      <w:r>
                        <w:rPr>
                          <w:szCs w:val="24"/>
                        </w:rPr>
                        <w:t>35</w:t>
                      </w:r>
                    </w:sdtContent>
                  </w:sdt>
                  <w:r>
                    <w:rPr>
                      <w:szCs w:val="24"/>
                    </w:rPr>
                    <w:t xml:space="preserve">. Mokestinės nepriemokos ar baudos už administracinį nusižengimą mokėjimo atidėjimo ir (ar) išdėstymo laikotarpis pradedamas skaičiuoti nuo Prašymo pateikimo mokesčių administratoriui dienos, bet ne anksčiau kaip nuo mokestinės nepriemokos susidarymo dienos arba baudos už administracinį nusižengimą mokėjimo termino, numatyto </w:t>
                  </w:r>
                  <w:r>
                    <w:rPr>
                      <w:iCs/>
                      <w:szCs w:val="24"/>
                    </w:rPr>
                    <w:t xml:space="preserve">ANK </w:t>
                  </w:r>
                  <w:r>
                    <w:rPr>
                      <w:szCs w:val="24"/>
                    </w:rPr>
                    <w:t xml:space="preserve">675 straipsnio 2 dalyje, pabaigos. </w:t>
                  </w:r>
                </w:p>
              </w:sdtContent>
            </w:sdt>
            <w:sdt>
              <w:sdtPr>
                <w:alias w:val="36 p."/>
                <w:tag w:val="part_3b527aa0477d457e9b816ac172860893"/>
                <w:lock w:val="sdtLocked"/>
                <w:richText/>
              </w:sdtPr>
              <w:sdtContent>
                <w:p>
                  <w:pPr>
                    <w:ind w:firstLine="680"/>
                    <w:jc w:val="both"/>
                    <w:rPr>
                      <w:szCs w:val="24"/>
                    </w:rPr>
                  </w:pPr>
                  <w:sdt>
                    <w:sdtPr>
                      <w:alias w:val="Numeris"/>
                      <w:tag w:val="nr_3b527aa0477d457e9b816ac172860893"/>
                      <w:lock w:val="sdtLocked"/>
                      <w:richText/>
                    </w:sdtPr>
                    <w:sdtContent>
                      <w:r>
                        <w:rPr>
                          <w:szCs w:val="24"/>
                        </w:rPr>
                        <w:t>36</w:t>
                      </w:r>
                    </w:sdtContent>
                  </w:sdt>
                  <w:r>
                    <w:rPr>
                      <w:szCs w:val="24"/>
                    </w:rPr>
                    <w:t xml:space="preserve">. Mokesčių administratorius gali atidėti ir (ar) išdėstyti mokestinės nepriemokos mokėjimą, nurodydamas užtikrinti jos sumokėjimą įkeitimu, hipoteka, laidavimu arba garantija. </w:t>
                  </w:r>
                </w:p>
              </w:sdtContent>
            </w:sdt>
            <w:sdt>
              <w:sdtPr>
                <w:alias w:val="37 p."/>
                <w:tag w:val="part_5bb1616e2f4f494083e04b47fee63325"/>
                <w:lock w:val="sdtLocked"/>
                <w:richText/>
              </w:sdtPr>
              <w:sdtContent>
                <w:p>
                  <w:pPr>
                    <w:ind w:firstLine="680"/>
                    <w:jc w:val="both"/>
                    <w:rPr>
                      <w:szCs w:val="24"/>
                    </w:rPr>
                  </w:pPr>
                  <w:sdt>
                    <w:sdtPr>
                      <w:alias w:val="Numeris"/>
                      <w:tag w:val="nr_5bb1616e2f4f494083e04b47fee63325"/>
                      <w:lock w:val="sdtLocked"/>
                      <w:richText/>
                    </w:sdtPr>
                    <w:sdtContent>
                      <w:r>
                        <w:rPr>
                          <w:szCs w:val="24"/>
                        </w:rPr>
                        <w:t>37</w:t>
                      </w:r>
                    </w:sdtContent>
                  </w:sdt>
                  <w:r>
                    <w:rPr>
                      <w:szCs w:val="24"/>
                    </w:rPr>
                    <w:t>. Kai mokestinės nepriemokos sumokėjimas užtikrinamas priverstine hipoteka arba įkeitimu, mokesčių administratorius gali iš mokesčių mokėtojo pareikalauti padengti mokesčių administratoriaus turėtas priverstinės hipotekos arba įkeitimo įregistravimo išlaidas.</w:t>
                  </w:r>
                </w:p>
              </w:sdtContent>
            </w:sdt>
            <w:sdt>
              <w:sdtPr>
                <w:alias w:val="38 p."/>
                <w:tag w:val="part_405800e53f9c463a9f53e9be47f7ddf8"/>
                <w:lock w:val="sdtLocked"/>
                <w:richText/>
              </w:sdtPr>
              <w:sdtContent>
                <w:p>
                  <w:pPr>
                    <w:ind w:firstLine="680"/>
                    <w:jc w:val="both"/>
                    <w:rPr>
                      <w:szCs w:val="24"/>
                    </w:rPr>
                  </w:pPr>
                  <w:sdt>
                    <w:sdtPr>
                      <w:alias w:val="Numeris"/>
                      <w:tag w:val="nr_405800e53f9c463a9f53e9be47f7ddf8"/>
                      <w:lock w:val="sdtLocked"/>
                      <w:richText/>
                    </w:sdtPr>
                    <w:sdtContent>
                      <w:r>
                        <w:rPr>
                          <w:szCs w:val="24"/>
                        </w:rPr>
                        <w:t>38</w:t>
                      </w:r>
                    </w:sdtContent>
                  </w:sdt>
                  <w:r>
                    <w:rPr>
                      <w:szCs w:val="24"/>
                    </w:rPr>
                    <w:t>. Sprendimas įgyvendinamas (sudaroma Mokestinės paskolos sutartis) ne vėliau kaip per 10 darbo dienų nuo Sprendimo priėmimo dienos, išskyrus Taisyklių 39 punkte nustatytus atvejus, mokėtojui su mokesčių administratoriumi sudarant Mokestinės paskolos sutartį</w:t>
                  </w:r>
                  <w:r>
                    <w:rPr>
                      <w:color w:val="000000"/>
                      <w:szCs w:val="22"/>
                    </w:rPr>
                    <w:t>.</w:t>
                  </w:r>
                </w:p>
              </w:sdtContent>
            </w:sdt>
            <w:sdt>
              <w:sdtPr>
                <w:alias w:val="39 p."/>
                <w:tag w:val="part_5947dc9b158c4cf5ad62f043b02fe084"/>
                <w:lock w:val="sdtLocked"/>
                <w:richText/>
              </w:sdtPr>
              <w:sdtContent>
                <w:p>
                  <w:pPr>
                    <w:ind w:firstLine="680"/>
                    <w:jc w:val="both"/>
                    <w:rPr>
                      <w:szCs w:val="24"/>
                    </w:rPr>
                  </w:pPr>
                  <w:sdt>
                    <w:sdtPr>
                      <w:alias w:val="Numeris"/>
                      <w:tag w:val="nr_5947dc9b158c4cf5ad62f043b02fe084"/>
                      <w:lock w:val="sdtLocked"/>
                      <w:richText/>
                    </w:sdtPr>
                    <w:sdtContent>
                      <w:r>
                        <w:rPr>
                          <w:szCs w:val="24"/>
                        </w:rPr>
                        <w:t>39</w:t>
                      </w:r>
                    </w:sdtContent>
                  </w:sdt>
                  <w:r>
                    <w:rPr>
                      <w:szCs w:val="24"/>
                    </w:rPr>
                    <w:t>. Jeigu Sprendimas priimtas su sąlyga, kad mokestinės nepriemokos sumokėjimas turi būti užtikrintas įkeitimu, hipoteka, laidavimu ar garantija ir (ar) kad mokesčių mokėtojas iki Mokestinės paskolos sutarties sudarymo padengs priverstinės hipotekos arba įkeitimo įregistravimo išlaidas, Mokestinės paskolos sutartis turi būti sudaryta ne vėliau kaip per 20 darbo dienų nuo Sprendimo atidėti ir (ar) išdėstyti mokestinės nepriemokos mokėjimą priėmimo dienos, tačiau mokesčių mokėtojo motyvuotu prašymu šis terminas gali būti pratęstas iki 40 darbo dienų. Tuo atveju, kai per nustatytus terminus, įskaitant ir Taisyklių 38 punkte numatytą terminą, Mokestinės paskolos sutartis nesudaroma, Sprendimas netenka galios nuo jo priėmimo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40 p."/>
                <w:tag w:val="part_284655404a5547ecbc3590e289bcf0e7"/>
                <w:lock w:val="sdtLocked"/>
                <w:richText/>
              </w:sdtPr>
              <w:sdtContent>
                <w:p>
                  <w:pPr>
                    <w:ind w:firstLine="680"/>
                    <w:jc w:val="both"/>
                    <w:rPr>
                      <w:szCs w:val="24"/>
                    </w:rPr>
                  </w:pPr>
                  <w:sdt>
                    <w:sdtPr>
                      <w:alias w:val="Numeris"/>
                      <w:tag w:val="nr_284655404a5547ecbc3590e289bcf0e7"/>
                      <w:lock w:val="sdtLocked"/>
                      <w:richText/>
                    </w:sdtPr>
                    <w:sdtContent>
                      <w:r>
                        <w:rPr>
                          <w:szCs w:val="24"/>
                          <w:lang w:val="en-US"/>
                        </w:rPr>
                        <w:t>40</w:t>
                      </w:r>
                    </w:sdtContent>
                  </w:sdt>
                  <w:r>
                    <w:rPr>
                      <w:szCs w:val="24"/>
                      <w:lang w:val="en-US"/>
                    </w:rPr>
                    <w:t xml:space="preserve">. </w:t>
                  </w:r>
                  <w:r>
                    <w:rPr>
                      <w:szCs w:val="24"/>
                    </w:rPr>
                    <w:t xml:space="preserve">Priimtas Sprendimas netenka galios nuo jo priėmimo dienos, jeigu jis priimtas dėl nepriemokos ar baudos už administracinį nusižengimą, kurios atitinkamai apskaičiavimo ar paskyrimo pagrįstumas buvo apskųstas Sprendimo priėmimo metu ar apskųstas, priėmus Sprendimą, arba atsiranda bent vienas iš Taisyklių </w:t>
                  </w:r>
                  <w:r>
                    <w:rPr>
                      <w:szCs w:val="24"/>
                      <w:lang w:val="en-US"/>
                    </w:rPr>
                    <w:t xml:space="preserve">52.2–52.8 </w:t>
                  </w:r>
                  <w:r>
                    <w:rPr>
                      <w:szCs w:val="24"/>
                    </w:rPr>
                    <w:t>papunkčiuose nurodytų pagrindų.</w:t>
                  </w:r>
                </w:p>
                <w:p>
                  <w:pPr>
                    <w:jc w:val="center"/>
                    <w:rPr>
                      <w:b/>
                      <w:szCs w:val="24"/>
                    </w:rPr>
                  </w:pPr>
                </w:p>
              </w:sdtContent>
            </w:sdt>
          </w:sdtContent>
        </w:sdt>
        <w:sdt>
          <w:sdtPr>
            <w:alias w:val="skyrius"/>
            <w:tag w:val="part_c67acf32c57f4752b94a1d58472a2888"/>
            <w:lock w:val="sdtLocked"/>
            <w:richText/>
          </w:sdtPr>
          <w:sdtContent>
            <w:p>
              <w:pPr>
                <w:jc w:val="center"/>
                <w:rPr>
                  <w:b/>
                  <w:szCs w:val="24"/>
                </w:rPr>
              </w:pPr>
              <w:sdt>
                <w:sdtPr>
                  <w:alias w:val="Numeris"/>
                  <w:tag w:val="nr_c67acf32c57f4752b94a1d58472a2888"/>
                  <w:lock w:val="sdtLocked"/>
                  <w:richText/>
                </w:sdtPr>
                <w:sdtContent>
                  <w:r>
                    <w:rPr>
                      <w:b/>
                      <w:szCs w:val="24"/>
                    </w:rPr>
                    <w:t>V</w:t>
                  </w:r>
                </w:sdtContent>
              </w:sdt>
              <w:r>
                <w:rPr>
                  <w:b/>
                  <w:szCs w:val="24"/>
                </w:rPr>
                <w:t xml:space="preserve"> SKYRIUS</w:t>
              </w:r>
            </w:p>
            <w:p>
              <w:pPr>
                <w:jc w:val="center"/>
                <w:rPr>
                  <w:b/>
                  <w:szCs w:val="24"/>
                </w:rPr>
              </w:pPr>
              <w:sdt>
                <w:sdtPr>
                  <w:alias w:val="Pavadinimas"/>
                  <w:tag w:val="title_c67acf32c57f4752b94a1d58472a2888"/>
                  <w:lock w:val="sdtLocked"/>
                  <w:richText/>
                </w:sdtPr>
                <w:sdtContent>
                  <w:r>
                    <w:rPr>
                      <w:b/>
                      <w:szCs w:val="24"/>
                    </w:rPr>
                    <w:t>MOKESTINĖS PASKOLOS SUTARTIES SUDARYMO IR VYKDYMO SĄLYGOS</w:t>
                  </w:r>
                </w:sdtContent>
              </w:sdt>
            </w:p>
            <w:p>
              <w:pPr>
                <w:ind w:firstLine="680"/>
                <w:jc w:val="center"/>
                <w:rPr>
                  <w:szCs w:val="24"/>
                </w:rPr>
              </w:pPr>
            </w:p>
            <w:sdt>
              <w:sdtPr>
                <w:alias w:val="41 p."/>
                <w:tag w:val="part_847569fee42b44b6b362f18e49cfb37f"/>
                <w:lock w:val="sdtLocked"/>
                <w:richText/>
              </w:sdtPr>
              <w:sdtContent>
                <w:p>
                  <w:pPr>
                    <w:ind w:firstLine="680"/>
                    <w:jc w:val="both"/>
                    <w:rPr>
                      <w:szCs w:val="24"/>
                    </w:rPr>
                  </w:pPr>
                  <w:sdt>
                    <w:sdtPr>
                      <w:alias w:val="Numeris"/>
                      <w:tag w:val="nr_847569fee42b44b6b362f18e49cfb37f"/>
                      <w:lock w:val="sdtLocked"/>
                      <w:richText/>
                    </w:sdtPr>
                    <w:sdtContent>
                      <w:r>
                        <w:rPr>
                          <w:szCs w:val="24"/>
                          <w:lang w:val="en-US"/>
                        </w:rPr>
                        <w:t>41</w:t>
                      </w:r>
                    </w:sdtContent>
                  </w:sdt>
                  <w:r>
                    <w:rPr>
                      <w:szCs w:val="24"/>
                    </w:rPr>
                    <w:t xml:space="preserve">. Mokesčių administratoriaus Sprendimu atidėto ir (ar) išdėstyto mokestinės nepriemokos ar baudos už administracinį nusižengimą mokėjimo sąlygos (privalomų įmokų suma ir vienu metu sumokamos mokestinės paskolos dalies dydis) nustatomos Mokestinės paskolos sutartyje. </w:t>
                  </w:r>
                </w:p>
              </w:sdtContent>
            </w:sdt>
            <w:sdt>
              <w:sdtPr>
                <w:alias w:val="42 p."/>
                <w:tag w:val="part_0ff71b061a5a419ba46b1481dfa056bf"/>
                <w:lock w:val="sdtLocked"/>
                <w:richText/>
              </w:sdtPr>
              <w:sdtContent>
                <w:p>
                  <w:pPr>
                    <w:ind w:firstLine="680"/>
                    <w:jc w:val="both"/>
                    <w:rPr>
                      <w:szCs w:val="24"/>
                    </w:rPr>
                  </w:pPr>
                  <w:sdt>
                    <w:sdtPr>
                      <w:alias w:val="Numeris"/>
                      <w:tag w:val="nr_0ff71b061a5a419ba46b1481dfa056bf"/>
                      <w:lock w:val="sdtLocked"/>
                      <w:richText/>
                    </w:sdtPr>
                    <w:sdtContent>
                      <w:r>
                        <w:rPr>
                          <w:szCs w:val="24"/>
                        </w:rPr>
                        <w:t>42</w:t>
                      </w:r>
                    </w:sdtContent>
                  </w:sdt>
                  <w:r>
                    <w:rPr>
                      <w:szCs w:val="24"/>
                    </w:rPr>
                    <w:t xml:space="preserve">. Mokėtojas mokestinę nepriemoką ar baudą už administracinį nusižengimą, kurios mokėjimas atidėtas ir (ar) išdėstytas, sumoka pagal mokesčių administratoriaus patvirtintą Mokestinės paskolos sutarties grafiką. </w:t>
                  </w:r>
                </w:p>
              </w:sdtContent>
            </w:sdt>
            <w:sdt>
              <w:sdtPr>
                <w:alias w:val="43 p."/>
                <w:tag w:val="part_0980fb28969a473584276d59f7cf6fed"/>
                <w:lock w:val="sdtLocked"/>
                <w:richText/>
              </w:sdtPr>
              <w:sdtContent>
                <w:p>
                  <w:pPr>
                    <w:ind w:firstLine="680"/>
                    <w:jc w:val="both"/>
                    <w:rPr>
                      <w:szCs w:val="24"/>
                    </w:rPr>
                  </w:pPr>
                  <w:sdt>
                    <w:sdtPr>
                      <w:alias w:val="Numeris"/>
                      <w:tag w:val="nr_0980fb28969a473584276d59f7cf6fed"/>
                      <w:lock w:val="sdtLocked"/>
                      <w:richText/>
                    </w:sdtPr>
                    <w:sdtContent>
                      <w:r>
                        <w:rPr>
                          <w:szCs w:val="24"/>
                        </w:rPr>
                        <w:t>43</w:t>
                      </w:r>
                    </w:sdtContent>
                  </w:sdt>
                  <w:r>
                    <w:rPr>
                      <w:szCs w:val="24"/>
                    </w:rPr>
                    <w:t>. Už naudojimąsi mokestine paskola mokamos palūkanos, kurios apskaičiuojamos MAĮ nustatyta tvarka. Palūkanos pagal Mokestinės paskolos sutartį, sudarytą dėl baudos už administracinį nusižengimą mokėjimo išdėstymo, neskaičiuojamos.</w:t>
                  </w:r>
                </w:p>
              </w:sdtContent>
            </w:sdt>
            <w:sdt>
              <w:sdtPr>
                <w:alias w:val="44 p."/>
                <w:tag w:val="part_458ddd394f794df79344005bb32fc15e"/>
                <w:lock w:val="sdtLocked"/>
                <w:richText/>
              </w:sdtPr>
              <w:sdtContent>
                <w:p>
                  <w:pPr>
                    <w:ind w:firstLine="680"/>
                    <w:jc w:val="both"/>
                    <w:rPr>
                      <w:szCs w:val="24"/>
                    </w:rPr>
                  </w:pPr>
                  <w:sdt>
                    <w:sdtPr>
                      <w:alias w:val="Numeris"/>
                      <w:tag w:val="nr_458ddd394f794df79344005bb32fc15e"/>
                      <w:lock w:val="sdtLocked"/>
                      <w:richText/>
                    </w:sdtPr>
                    <w:sdtContent>
                      <w:r>
                        <w:rPr>
                          <w:szCs w:val="24"/>
                        </w:rPr>
                        <w:t>44</w:t>
                      </w:r>
                    </w:sdtContent>
                  </w:sdt>
                  <w:r>
                    <w:rPr>
                      <w:szCs w:val="24"/>
                    </w:rPr>
                    <w:t>. Palūkanos pagal Mokestinės paskolos sutartį už mokestinę nepriemoką skaičiuojamos už visą naudojimosi mokestine paskola laikotarpį ir mokamos kiekvieną mėnesį pagal Mokestinės paskolos sutarties grafiką, pradedant nuo to mėnesio, kurį Mokestinės paskolos sutartis sudaryta.</w:t>
                  </w:r>
                </w:p>
              </w:sdtContent>
            </w:sdt>
            <w:sdt>
              <w:sdtPr>
                <w:alias w:val="45 p."/>
                <w:tag w:val="part_cd443b2abbd740ac852873bbd7fdca26"/>
                <w:lock w:val="sdtLocked"/>
                <w:richText/>
              </w:sdtPr>
              <w:sdtContent>
                <w:p>
                  <w:pPr>
                    <w:ind w:firstLine="680"/>
                    <w:jc w:val="both"/>
                    <w:rPr>
                      <w:szCs w:val="24"/>
                    </w:rPr>
                  </w:pPr>
                  <w:sdt>
                    <w:sdtPr>
                      <w:alias w:val="Numeris"/>
                      <w:tag w:val="nr_cd443b2abbd740ac852873bbd7fdca26"/>
                      <w:lock w:val="sdtLocked"/>
                      <w:richText/>
                    </w:sdtPr>
                    <w:sdtContent>
                      <w:r>
                        <w:rPr>
                          <w:szCs w:val="24"/>
                        </w:rPr>
                        <w:t>45</w:t>
                      </w:r>
                    </w:sdtContent>
                  </w:sdt>
                  <w:r>
                    <w:rPr>
                      <w:szCs w:val="24"/>
                    </w:rPr>
                    <w:t xml:space="preserve">. Palūkanų pagal Mokestinės paskolos sutartį dydį nustato finansų ministras. Jeigu kitas palūkanų dydis nepaskelbiamas, taikomas paskutinis finansų ministro paskelbtas palūkanų dydis. </w:t>
                  </w:r>
                </w:p>
              </w:sdtContent>
            </w:sdt>
            <w:sdt>
              <w:sdtPr>
                <w:alias w:val="46 p."/>
                <w:tag w:val="part_947f1af895d3485bb30c811ebfbaab9a"/>
                <w:lock w:val="sdtLocked"/>
                <w:richText/>
              </w:sdtPr>
              <w:sdtContent>
                <w:p>
                  <w:pPr>
                    <w:ind w:firstLine="680"/>
                    <w:jc w:val="both"/>
                    <w:rPr>
                      <w:szCs w:val="24"/>
                    </w:rPr>
                  </w:pPr>
                  <w:sdt>
                    <w:sdtPr>
                      <w:alias w:val="Numeris"/>
                      <w:tag w:val="nr_947f1af895d3485bb30c811ebfbaab9a"/>
                      <w:lock w:val="sdtLocked"/>
                      <w:richText/>
                    </w:sdtPr>
                    <w:sdtContent>
                      <w:r>
                        <w:rPr>
                          <w:szCs w:val="24"/>
                        </w:rPr>
                        <w:t>46</w:t>
                      </w:r>
                    </w:sdtContent>
                  </w:sdt>
                  <w:r>
                    <w:rPr>
                      <w:szCs w:val="24"/>
                    </w:rPr>
                    <w:t xml:space="preserve">. Kai mokestinės nepriemokos mokėjimas išdėstomas, pirmoji palūkanų už mokestinę paskolą įmoka apskaičiuojama už laikotarpį nuo faktinio naudojimosi mokestine paskola pradžios iki Mokestinės paskolos sutarties grafike nustatytos pirmos įmokos dienos, išskyrus Taisyklių 48 punkte nurodytą atvejį. Kai mokėjimas atidedamas, pirmoji palūkanų už mokestinę paskolą įmoka apskaičiuojama už laikotarpį nuo faktinio naudojimosi mokestine paskola pradžios iki Mokestinės paskolos sutarties grafike nustatytos pirmos palūkanų sumokėjimo dienos. </w:t>
                  </w:r>
                </w:p>
              </w:sdtContent>
            </w:sdt>
            <w:sdt>
              <w:sdtPr>
                <w:alias w:val="47 p."/>
                <w:tag w:val="part_1a2f4c38af44433098bd9b90e2f4a3ff"/>
                <w:lock w:val="sdtLocked"/>
                <w:richText/>
              </w:sdtPr>
              <w:sdtContent>
                <w:p>
                  <w:pPr>
                    <w:ind w:firstLine="680"/>
                    <w:jc w:val="both"/>
                    <w:rPr>
                      <w:szCs w:val="24"/>
                    </w:rPr>
                  </w:pPr>
                  <w:sdt>
                    <w:sdtPr>
                      <w:alias w:val="Numeris"/>
                      <w:tag w:val="nr_1a2f4c38af44433098bd9b90e2f4a3ff"/>
                      <w:lock w:val="sdtLocked"/>
                      <w:richText/>
                    </w:sdtPr>
                    <w:sdtContent>
                      <w:r>
                        <w:rPr>
                          <w:szCs w:val="24"/>
                          <w:lang w:val="en-US"/>
                        </w:rPr>
                        <w:t>47</w:t>
                      </w:r>
                    </w:sdtContent>
                  </w:sdt>
                  <w:r>
                    <w:rPr>
                      <w:szCs w:val="24"/>
                    </w:rPr>
                    <w:t>. Mokesčių administratorius, įvertinęs mokėtojo finansinę būklę, gali įmokų pagal Mokestinės paskolos sutartį, kai mokestinės nepriemokos mokėjimas išdėstomas, mokėjimo pradžią atidėti iki vienerių metų. Tokiu atveju, kai išdėstomas mokestinės nepriemokos mokėjimas, pirmoji palūkanų už mokestinę paskolą įmoka apskaičiuojama už laikotarpį nuo faktinio naudojimosi mokestine paskola pradžios iki Mokestinės paskolos sutarties grafike nustatytos pirmos palūkanų sumokėjimo dienos ir mokamos kiekvieną mėnesį.</w:t>
                  </w:r>
                </w:p>
              </w:sdtContent>
            </w:sdt>
            <w:sdt>
              <w:sdtPr>
                <w:alias w:val="48 p."/>
                <w:tag w:val="part_e3f81c1f0b9e4611bbca84d74766b00f"/>
                <w:lock w:val="sdtLocked"/>
                <w:richText/>
              </w:sdtPr>
              <w:sdtContent>
                <w:p>
                  <w:pPr>
                    <w:ind w:firstLine="680"/>
                    <w:jc w:val="both"/>
                    <w:rPr>
                      <w:szCs w:val="24"/>
                    </w:rPr>
                  </w:pPr>
                  <w:sdt>
                    <w:sdtPr>
                      <w:alias w:val="Numeris"/>
                      <w:tag w:val="nr_e3f81c1f0b9e4611bbca84d74766b00f"/>
                      <w:lock w:val="sdtLocked"/>
                      <w:richText/>
                    </w:sdtPr>
                    <w:sdtContent>
                      <w:r>
                        <w:rPr>
                          <w:szCs w:val="24"/>
                        </w:rPr>
                        <w:t>48</w:t>
                      </w:r>
                    </w:sdtContent>
                  </w:sdt>
                  <w:r>
                    <w:rPr>
                      <w:szCs w:val="24"/>
                    </w:rPr>
                    <w:t xml:space="preserve">. </w:t>
                  </w:r>
                  <w:r>
                    <w:t xml:space="preserve">Pagal Mokestinės paskolos sutartį sumokėtos įmokos, palūkanos, padidintos palūkanos, palūkanų delspinigiai įskaitomi </w:t>
                  </w:r>
                  <w:r>
                    <w:rPr>
                      <w:bCs/>
                      <w:color w:val="000000"/>
                      <w:szCs w:val="24"/>
                    </w:rPr>
                    <w:t xml:space="preserve">Mokesčių mokėtojo sumokėtų sumų įskaitymo ir mokėjimo prievolių dydžių skirtumo pagal patikslintus mokėjimo prievolių dokumentus </w:t>
                  </w:r>
                  <w:r>
                    <w:rPr>
                      <w:szCs w:val="24"/>
                    </w:rPr>
                    <w:t>tvarkymo taisyklių, patvirtintų Valstybinės mokesčių inspekcijos prie Lietuvos Respublikos finansų ministerijos viršininko 2004 m. gruodžio 20 d. įsakymu Nr. VA-193 „Dėl Mokesčių mokėtojo sumokėtų sumų įskaitymo ir mokėjimo prievolių dydžių skirtumo pagal patikslintus mokėjimo prievolių dokumentus tvarkymo taisyklių patvirtinimo“, nustatyta tvarka</w:t>
                  </w:r>
                  <w:r>
                    <w:rPr>
                      <w:bCs/>
                      <w:szCs w:val="24"/>
                      <w:shd w:val="clear" w:color="auto" w:fill="FFFFFF"/>
                    </w:rPr>
                    <w:t xml:space="preserve">. </w:t>
                  </w:r>
                  <w:r>
                    <w:rPr>
                      <w:szCs w:val="24"/>
                    </w:rPr>
                    <w:t>Pagal Mokestinės paskolos sutartį už mokestinę nepriemoką pirmiausia įskaitomos palūkanos, tada – mokesčių, baudų ir delspinigių nepriemokos.</w:t>
                  </w:r>
                </w:p>
              </w:sdtContent>
            </w:sdt>
            <w:sdt>
              <w:sdtPr>
                <w:alias w:val="49 p."/>
                <w:tag w:val="part_1306810eccc34bbe817137d599c71b79"/>
                <w:lock w:val="sdtLocked"/>
                <w:richText/>
              </w:sdtPr>
              <w:sdtContent>
                <w:p>
                  <w:pPr>
                    <w:ind w:firstLine="680"/>
                    <w:jc w:val="both"/>
                    <w:rPr>
                      <w:szCs w:val="24"/>
                    </w:rPr>
                  </w:pPr>
                  <w:sdt>
                    <w:sdtPr>
                      <w:alias w:val="Numeris"/>
                      <w:tag w:val="nr_1306810eccc34bbe817137d599c71b79"/>
                      <w:lock w:val="sdtLocked"/>
                      <w:richText/>
                    </w:sdtPr>
                    <w:sdtContent>
                      <w:r>
                        <w:rPr>
                          <w:szCs w:val="24"/>
                        </w:rPr>
                        <w:t>49</w:t>
                      </w:r>
                    </w:sdtContent>
                  </w:sdt>
                  <w:r>
                    <w:rPr>
                      <w:szCs w:val="24"/>
                    </w:rPr>
                    <w:t>. Atsiskaitant pagal Mokestinės paskolos sutartį, už pavėluotai sumokamas mokestinės nepriemokos, kurios mokėjimas atidėtas ir (ar) išdėstytas, įmokas skaičiuojamos padidintos palūkanos, o nesumokėjus palūkanų pagal Mokestinės paskolos sutartį – palūkanų delspinigiai. Padidintos palūkanos ir palūkanų delspinigiai skaičiuojami iki dienos, kol atitinkamos sumos yra sumokamos, įskaitytinai. Kai atidedamas ar išdėstomas baudų už administracinį nusižengimą mokėjimas, padidintos palūkanos ir palūkanų delspinigiai nėra skaičiuojami.</w:t>
                  </w:r>
                </w:p>
                <w:p>
                  <w:pPr>
                    <w:ind w:firstLine="680"/>
                    <w:jc w:val="center"/>
                    <w:rPr>
                      <w:b/>
                      <w:szCs w:val="24"/>
                    </w:rPr>
                  </w:pPr>
                </w:p>
              </w:sdtContent>
            </w:sdt>
          </w:sdtContent>
        </w:sdt>
        <w:sdt>
          <w:sdtPr>
            <w:alias w:val="skyrius"/>
            <w:tag w:val="part_e008211fd4c54306bec7047c1b4d691c"/>
            <w:lock w:val="sdtLocked"/>
            <w:richText/>
          </w:sdtPr>
          <w:sdtContent>
            <w:p>
              <w:pPr>
                <w:jc w:val="center"/>
                <w:rPr>
                  <w:b/>
                  <w:szCs w:val="24"/>
                </w:rPr>
              </w:pPr>
              <w:sdt>
                <w:sdtPr>
                  <w:alias w:val="Numeris"/>
                  <w:tag w:val="nr_e008211fd4c54306bec7047c1b4d691c"/>
                  <w:lock w:val="sdtLocked"/>
                  <w:richText/>
                </w:sdtPr>
                <w:sdtContent>
                  <w:r>
                    <w:rPr>
                      <w:b/>
                      <w:szCs w:val="24"/>
                    </w:rPr>
                    <w:t>VI</w:t>
                  </w:r>
                </w:sdtContent>
              </w:sdt>
              <w:r>
                <w:rPr>
                  <w:b/>
                  <w:szCs w:val="24"/>
                </w:rPr>
                <w:t xml:space="preserve"> SKYRIUS</w:t>
              </w:r>
            </w:p>
            <w:p>
              <w:pPr>
                <w:jc w:val="center"/>
                <w:rPr>
                  <w:b/>
                  <w:szCs w:val="24"/>
                </w:rPr>
              </w:pPr>
              <w:sdt>
                <w:sdtPr>
                  <w:alias w:val="Pavadinimas"/>
                  <w:tag w:val="title_e008211fd4c54306bec7047c1b4d691c"/>
                  <w:lock w:val="sdtLocked"/>
                  <w:richText/>
                </w:sdtPr>
                <w:sdtContent>
                  <w:r>
                    <w:rPr>
                      <w:b/>
                      <w:szCs w:val="24"/>
                    </w:rPr>
                    <w:t xml:space="preserve">SPRENDIMO PAKEISTI MOKESTINĖS PASKOLOS SUTARTĮ ARBA JĄ NUTRAUKTI PRIĖMIMAS </w:t>
                  </w:r>
                </w:sdtContent>
              </w:sdt>
            </w:p>
            <w:p>
              <w:pPr>
                <w:ind w:firstLine="680"/>
                <w:jc w:val="center"/>
                <w:rPr>
                  <w:szCs w:val="24"/>
                </w:rPr>
              </w:pPr>
            </w:p>
            <w:sdt>
              <w:sdtPr>
                <w:alias w:val="50 p."/>
                <w:tag w:val="part_2717c45a731d422486a07c4b60294ecb"/>
                <w:lock w:val="sdtLocked"/>
                <w:richText/>
              </w:sdtPr>
              <w:sdtContent>
                <w:p>
                  <w:pPr>
                    <w:widowControl w:val="0"/>
                    <w:spacing w:line="144" w:lineRule="atLeast"/>
                    <w:ind w:firstLine="680"/>
                    <w:jc w:val="both"/>
                    <w:rPr>
                      <w:color w:val="000000"/>
                      <w:szCs w:val="22"/>
                    </w:rPr>
                  </w:pPr>
                  <w:sdt>
                    <w:sdtPr>
                      <w:alias w:val="Numeris"/>
                      <w:tag w:val="nr_2717c45a731d422486a07c4b60294ecb"/>
                      <w:lock w:val="sdtLocked"/>
                      <w:richText/>
                    </w:sdtPr>
                    <w:sdtContent>
                      <w:r>
                        <w:rPr>
                          <w:szCs w:val="24"/>
                        </w:rPr>
                        <w:t>50</w:t>
                      </w:r>
                    </w:sdtContent>
                  </w:sdt>
                  <w:r>
                    <w:rPr>
                      <w:szCs w:val="24"/>
                    </w:rPr>
                    <w:t xml:space="preserve">. Mokesčių administratorius priima Sprendimą pakeisti mokestinę paskolos sutartį (pakeisti Mokestinės paskolos sutarties grafiką arba pratęsti atidėtą ir (ar) išdėstytą mokestinės nepriemokos ar baudos už administracinį nusižengimą mokėjimą ir pan.), gavęs mokėtojo laisvos formos prašymą, kuris pateikiamas ir nagrinėjamas tokia pat tvarka, kaip ir Prašymas. </w:t>
                  </w:r>
                </w:p>
              </w:sdtContent>
            </w:sdt>
            <w:sdt>
              <w:sdtPr>
                <w:alias w:val="51 p."/>
                <w:tag w:val="part_7c71d3d8d8404c609d4ffdafb46db885"/>
                <w:lock w:val="sdtLocked"/>
                <w:richText/>
              </w:sdtPr>
              <w:sdtContent>
                <w:p>
                  <w:pPr>
                    <w:ind w:firstLine="680"/>
                    <w:jc w:val="both"/>
                    <w:rPr>
                      <w:szCs w:val="24"/>
                    </w:rPr>
                  </w:pPr>
                  <w:sdt>
                    <w:sdtPr>
                      <w:alias w:val="Numeris"/>
                      <w:tag w:val="nr_7c71d3d8d8404c609d4ffdafb46db885"/>
                      <w:lock w:val="sdtLocked"/>
                      <w:richText/>
                    </w:sdtPr>
                    <w:sdtContent>
                      <w:r>
                        <w:rPr>
                          <w:szCs w:val="24"/>
                          <w:lang w:val="en-US"/>
                        </w:rPr>
                        <w:t>5</w:t>
                      </w:r>
                      <w:r>
                        <w:rPr>
                          <w:szCs w:val="24"/>
                        </w:rPr>
                        <w:t>1</w:t>
                      </w:r>
                    </w:sdtContent>
                  </w:sdt>
                  <w:r>
                    <w:rPr>
                      <w:szCs w:val="24"/>
                    </w:rPr>
                    <w:t xml:space="preserve">. Mokesčių administratorius informuoja mokėtoją apie Sprendimą pakeisti mokestinės paskolos sutarties sąlygas tokiu būdu, kokiu būdu gautas mokėtojo prašymas arba, jei prašymas </w:t>
                  </w:r>
                  <w:r>
                    <w:rPr>
                      <w:rFonts w:eastAsia="Calibri"/>
                      <w:szCs w:val="24"/>
                      <w:lang w:eastAsia="lt-LT"/>
                    </w:rPr>
                    <w:t>įteikiamas mokesčių administratoriui tiesiogiai atvykus į VMI prie FM</w:t>
                  </w:r>
                  <w:r>
                    <w:rPr>
                      <w:szCs w:val="24"/>
                    </w:rPr>
                    <w:t xml:space="preserve"> arba </w:t>
                  </w:r>
                  <w:r>
                    <w:rPr>
                      <w:rFonts w:eastAsia="Calibri"/>
                      <w:szCs w:val="24"/>
                      <w:lang w:eastAsia="lt-LT"/>
                    </w:rPr>
                    <w:t>AVMI jų skelbiamais adresais, mokėtojas informuojamas</w:t>
                  </w:r>
                  <w:r>
                    <w:rPr>
                      <w:szCs w:val="24"/>
                    </w:rPr>
                    <w:t xml:space="preserve"> prašyme nurodytu būdu.</w:t>
                  </w:r>
                </w:p>
              </w:sdtContent>
            </w:sdt>
            <w:sdt>
              <w:sdtPr>
                <w:alias w:val="52 p."/>
                <w:tag w:val="part_d67b2ab84bb341ab91a67debd0802a92"/>
                <w:lock w:val="sdtLocked"/>
                <w:richText/>
              </w:sdtPr>
              <w:sdtContent>
                <w:p>
                  <w:pPr>
                    <w:ind w:firstLine="680"/>
                    <w:jc w:val="both"/>
                    <w:rPr>
                      <w:szCs w:val="22"/>
                    </w:rPr>
                  </w:pPr>
                  <w:sdt>
                    <w:sdtPr>
                      <w:alias w:val="Numeris"/>
                      <w:tag w:val="nr_d67b2ab84bb341ab91a67debd0802a92"/>
                      <w:lock w:val="sdtLocked"/>
                      <w:richText/>
                    </w:sdtPr>
                    <w:sdtContent>
                      <w:r>
                        <w:t>52</w:t>
                      </w:r>
                    </w:sdtContent>
                  </w:sdt>
                  <w:r>
                    <w:t xml:space="preserve">. Mokesčių administratorius priima Sprendimą nutraukti mokestinės paskolos sutartį, kurio </w:t>
                  </w:r>
                  <w:r>
                    <w:rPr>
                      <w:color w:val="000000"/>
                    </w:rPr>
                    <w:t>forma</w:t>
                  </w:r>
                  <w:r>
                    <w:t xml:space="preserve"> </w:t>
                  </w:r>
                  <w:r>
                    <w:rPr>
                      <w:color w:val="000000"/>
                    </w:rPr>
                    <w:t xml:space="preserve">FR0286 </w:t>
                  </w:r>
                  <w:r>
                    <w:t>yra patvirtinta šiuo Valstybinės mokesčių inspekcijos prie Lietuvos Respublikos finansų ministerijos viršininko įsakymu</w:t>
                  </w:r>
                  <w:r>
                    <w:rPr>
                      <w:szCs w:val="22"/>
                    </w:rPr>
                    <w:t xml:space="preserve">, jeigu atsiranda bent vienas iš </w:t>
                  </w:r>
                  <w:r>
                    <w:t xml:space="preserve">toliau </w:t>
                  </w:r>
                  <w:r>
                    <w:rPr>
                      <w:szCs w:val="22"/>
                    </w:rPr>
                    <w:t>nurodytų pagrindų:</w:t>
                  </w:r>
                </w:p>
                <w:sdt>
                  <w:sdtPr>
                    <w:alias w:val="52.1 pp."/>
                    <w:tag w:val="part_353d218d857642a0842eedc826c62ba0"/>
                    <w:lock w:val="sdtLocked"/>
                    <w:richText/>
                  </w:sdtPr>
                  <w:sdtContent>
                    <w:p>
                      <w:pPr>
                        <w:ind w:firstLine="680"/>
                        <w:jc w:val="both"/>
                      </w:pPr>
                      <w:sdt>
                        <w:sdtPr>
                          <w:alias w:val="Numeris"/>
                          <w:tag w:val="nr_353d218d857642a0842eedc826c62ba0"/>
                          <w:lock w:val="sdtLocked"/>
                          <w:richText/>
                        </w:sdtPr>
                        <w:sdtContent>
                          <w:r>
                            <w:rPr>
                              <w:szCs w:val="22"/>
                            </w:rPr>
                            <w:t>52.1</w:t>
                          </w:r>
                        </w:sdtContent>
                      </w:sdt>
                      <w:r>
                        <w:rPr>
                          <w:szCs w:val="22"/>
                        </w:rPr>
                        <w:t xml:space="preserve">. </w:t>
                      </w:r>
                      <w:r>
                        <w:t>mokėtojas nesilaiko Mokestinės paskolos sutarties sąlygų (nevykdomas Mokestinės paskolos sutarties grafikas</w:t>
                      </w:r>
                      <w:r>
                        <w:rPr>
                          <w:szCs w:val="24"/>
                        </w:rPr>
                        <w:t>)</w:t>
                      </w:r>
                      <w:r>
                        <w:t>;</w:t>
                      </w:r>
                    </w:p>
                  </w:sdtContent>
                </w:sdt>
                <w:sdt>
                  <w:sdtPr>
                    <w:alias w:val="52.2 pp."/>
                    <w:tag w:val="part_e2c8c01566904210b98570d527ecb3d5"/>
                    <w:lock w:val="sdtLocked"/>
                    <w:richText/>
                  </w:sdtPr>
                  <w:sdtContent>
                    <w:p>
                      <w:pPr>
                        <w:ind w:firstLine="680"/>
                        <w:jc w:val="both"/>
                        <w:rPr>
                          <w:color w:val="000000"/>
                        </w:rPr>
                      </w:pPr>
                      <w:sdt>
                        <w:sdtPr>
                          <w:alias w:val="Numeris"/>
                          <w:tag w:val="nr_e2c8c01566904210b98570d527ecb3d5"/>
                          <w:lock w:val="sdtLocked"/>
                          <w:richText/>
                        </w:sdtPr>
                        <w:sdtContent>
                          <w:r>
                            <w:t>52.2</w:t>
                          </w:r>
                        </w:sdtContent>
                      </w:sdt>
                      <w:r>
                        <w:t xml:space="preserve">. </w:t>
                      </w:r>
                      <w:r>
                        <w:rPr>
                          <w:color w:val="000000"/>
                        </w:rPr>
                        <w:t xml:space="preserve">paaiškėja aplinkybės, pagrindžiančios riziką, kad mokėtojas negalės vykdyti Mokestinės paskolos sutarties sąlygų (akcinėje bendrovėje, uždarojoje akcinėje bendrovėje, žemės ūkio bendrovėje ar viešojoje įstaigoje nebėra įdarbinto bent vieno darbuotojo, mokesčių mokėtojas stabdo vykdomą veiklą, mokesčių mokėtojas – juridinis asmuo, inicijuoja nemokumo procesą arba mokėtojas – fizinis asmuo, praneša mokesčių administratoriui apie ketinimą pateikti pareiškimą iškelti bankroto bylą); </w:t>
                      </w:r>
                    </w:p>
                  </w:sdtContent>
                </w:sdt>
                <w:sdt>
                  <w:sdtPr>
                    <w:alias w:val="52.3 pp."/>
                    <w:tag w:val="part_cfac980dd9b745128c4afefe5338fae0"/>
                    <w:lock w:val="sdtLocked"/>
                    <w:richText/>
                  </w:sdtPr>
                  <w:sdtContent>
                    <w:p>
                      <w:pPr>
                        <w:ind w:firstLine="680"/>
                        <w:jc w:val="both"/>
                      </w:pPr>
                      <w:sdt>
                        <w:sdtPr>
                          <w:alias w:val="Numeris"/>
                          <w:tag w:val="nr_cfac980dd9b745128c4afefe5338fae0"/>
                          <w:lock w:val="sdtLocked"/>
                          <w:richText/>
                        </w:sdtPr>
                        <w:sdtContent>
                          <w:r>
                            <w:rPr>
                              <w:color w:val="000000"/>
                            </w:rPr>
                            <w:t>52.3</w:t>
                          </w:r>
                        </w:sdtContent>
                      </w:sdt>
                      <w:r>
                        <w:rPr>
                          <w:color w:val="000000"/>
                        </w:rPr>
                        <w:t xml:space="preserve">. </w:t>
                      </w:r>
                      <w:r>
                        <w:t>valstybės įmonės Registrų centro priimtas sprendimas inicijuoti juridinio asmens likvidavimą pagal Lietuvos Respublikos civilinio kodekso 2.70 straipsnį;</w:t>
                      </w:r>
                    </w:p>
                  </w:sdtContent>
                </w:sdt>
                <w:sdt>
                  <w:sdtPr>
                    <w:alias w:val="52.4 pp."/>
                    <w:tag w:val="part_ee1f9b03dad849478a7d660e2391996d"/>
                    <w:lock w:val="sdtLocked"/>
                    <w:richText/>
                  </w:sdtPr>
                  <w:sdtContent>
                    <w:p>
                      <w:pPr>
                        <w:ind w:firstLine="680"/>
                        <w:jc w:val="both"/>
                        <w:rPr>
                          <w:color w:val="000000"/>
                        </w:rPr>
                      </w:pPr>
                      <w:sdt>
                        <w:sdtPr>
                          <w:alias w:val="Numeris"/>
                          <w:tag w:val="nr_ee1f9b03dad849478a7d660e2391996d"/>
                          <w:lock w:val="sdtLocked"/>
                          <w:richText/>
                        </w:sdtPr>
                        <w:sdtContent>
                          <w:r>
                            <w:rPr>
                              <w:color w:val="000000"/>
                            </w:rPr>
                            <w:t>52.4</w:t>
                          </w:r>
                        </w:sdtContent>
                      </w:sdt>
                      <w:r>
                        <w:rPr>
                          <w:color w:val="000000"/>
                        </w:rPr>
                        <w:t>. mokesčių administratorius gauna informacijos, kad mokėtojui taikomos tarptautinės sankcijos;</w:t>
                      </w:r>
                    </w:p>
                  </w:sdtContent>
                </w:sdt>
                <w:sdt>
                  <w:sdtPr>
                    <w:alias w:val="52.5 pp."/>
                    <w:tag w:val="part_4c1a4abc6ceb430f817fa952de1d4b15"/>
                    <w:lock w:val="sdtLocked"/>
                    <w:richText/>
                  </w:sdtPr>
                  <w:sdtContent>
                    <w:p>
                      <w:pPr>
                        <w:ind w:firstLine="680"/>
                        <w:jc w:val="both"/>
                        <w:rPr>
                          <w:rFonts w:ascii="Trebuchet MS" w:hAnsi="Trebuchet MS"/>
                          <w:strike/>
                          <w:szCs w:val="24"/>
                        </w:rPr>
                      </w:pPr>
                      <w:sdt>
                        <w:sdtPr>
                          <w:alias w:val="Numeris"/>
                          <w:tag w:val="nr_4c1a4abc6ceb430f817fa952de1d4b15"/>
                          <w:lock w:val="sdtLocked"/>
                          <w:richText/>
                        </w:sdtPr>
                        <w:sdtContent>
                          <w:r>
                            <w:rPr>
                              <w:color w:val="000000"/>
                            </w:rPr>
                            <w:t>52.5</w:t>
                          </w:r>
                        </w:sdtContent>
                      </w:sdt>
                      <w:r>
                        <w:rPr>
                          <w:color w:val="000000"/>
                        </w:rPr>
                        <w:t xml:space="preserve">. turima informacijos, kuri vertinama kaip mokesčių administratoriaus (kaip kreditoriaus) teisių pažeidimas (paaiškėja faktas, kad juridinio asmens vadovas yra nubaustas pagal Lietuvos Respublikos baudžiamojo kodekso </w:t>
                      </w:r>
                      <w:r>
                        <w:t>182 straipsnį už sukčiavimą</w:t>
                      </w:r>
                      <w:r>
                        <w:rPr>
                          <w:color w:val="000000"/>
                        </w:rPr>
                        <w:t xml:space="preserve">, 208 </w:t>
                      </w:r>
                      <w:r>
                        <w:t>straipsnį už skolininko nesąžiningumą</w:t>
                      </w:r>
                      <w:r>
                        <w:rPr>
                          <w:color w:val="000000"/>
                        </w:rPr>
                        <w:t xml:space="preserve">, 219 </w:t>
                      </w:r>
                      <w:r>
                        <w:t>straipsnį už mokesčių nesumokėjimą</w:t>
                      </w:r>
                      <w:r>
                        <w:rPr>
                          <w:color w:val="000000"/>
                        </w:rPr>
                        <w:t xml:space="preserve">, 220 </w:t>
                      </w:r>
                      <w:r>
                        <w:t>straipsnį už neteisingų duomenų apie pajamas, pelną ar turtą pateikimą</w:t>
                      </w:r>
                      <w:r>
                        <w:rPr>
                          <w:color w:val="000000"/>
                        </w:rPr>
                        <w:t xml:space="preserve">, 222 </w:t>
                      </w:r>
                      <w:r>
                        <w:t>straipsnį už apgaulingą finansinės apskaitos tvarkymą ir (arba) organizavimą</w:t>
                      </w:r>
                      <w:r>
                        <w:rPr>
                          <w:color w:val="000000"/>
                        </w:rPr>
                        <w:t xml:space="preserve">, 223 </w:t>
                      </w:r>
                      <w:r>
                        <w:t>straipsnį už aplaidų finansinės apskaitos tvarkymą ir (arba) organizavimą</w:t>
                      </w:r>
                      <w:r>
                        <w:rPr>
                          <w:color w:val="000000"/>
                        </w:rPr>
                        <w:t xml:space="preserve"> </w:t>
                      </w:r>
                      <w:r>
                        <w:rPr>
                          <w:color w:val="000000"/>
                          <w:szCs w:val="24"/>
                        </w:rPr>
                        <w:t xml:space="preserve">bei </w:t>
                      </w:r>
                      <w:r>
                        <w:rPr>
                          <w:szCs w:val="24"/>
                        </w:rPr>
                        <w:t>pagal ANK 120 straipsnį už kreditorių reikalavimų tenkinimo eilės ir tvarkos pažeidimą);</w:t>
                      </w:r>
                      <w:r>
                        <w:rPr>
                          <w:rFonts w:ascii="Trebuchet MS" w:hAnsi="Trebuchet MS"/>
                          <w:szCs w:val="24"/>
                        </w:rPr>
                        <w:t> </w:t>
                      </w:r>
                    </w:p>
                  </w:sdtContent>
                </w:sdt>
                <w:sdt>
                  <w:sdtPr>
                    <w:alias w:val="52.6 pp."/>
                    <w:tag w:val="part_40233b3150f94753a46c8bb739aff813"/>
                    <w:lock w:val="sdtLocked"/>
                    <w:richText/>
                  </w:sdtPr>
                  <w:sdtContent>
                    <w:p>
                      <w:pPr>
                        <w:ind w:firstLine="680"/>
                        <w:jc w:val="both"/>
                        <w:rPr>
                          <w:rFonts w:ascii="Trebuchet MS" w:hAnsi="Trebuchet MS"/>
                          <w:color w:val="000000"/>
                          <w:sz w:val="22"/>
                          <w:szCs w:val="22"/>
                        </w:rPr>
                      </w:pPr>
                      <w:sdt>
                        <w:sdtPr>
                          <w:alias w:val="Numeris"/>
                          <w:tag w:val="nr_40233b3150f94753a46c8bb739aff813"/>
                          <w:lock w:val="sdtLocked"/>
                          <w:richText/>
                        </w:sdtPr>
                        <w:sdtContent>
                          <w:r>
                            <w:rPr>
                              <w:color w:val="000000"/>
                              <w:szCs w:val="24"/>
                            </w:rPr>
                            <w:t>52.6</w:t>
                          </w:r>
                        </w:sdtContent>
                      </w:sdt>
                      <w:r>
                        <w:rPr>
                          <w:color w:val="000000"/>
                          <w:szCs w:val="24"/>
                        </w:rPr>
                        <w:t xml:space="preserve">. </w:t>
                      </w:r>
                      <w:r>
                        <w:rPr>
                          <w:szCs w:val="24"/>
                          <w:shd w:val="clear" w:color="auto" w:fill="FFFFFF"/>
                        </w:rPr>
                        <w:t>mokėtojas mirė (neatsižvelgiant į tai, ar jo mokestines prievoles paveldi paveldėtojai);</w:t>
                      </w:r>
                    </w:p>
                  </w:sdtContent>
                </w:sdt>
                <w:sdt>
                  <w:sdtPr>
                    <w:alias w:val="52.7 pp."/>
                    <w:tag w:val="part_4e55f3ef181248aa8d59fbbeb9b17258"/>
                    <w:lock w:val="sdtLocked"/>
                    <w:richText/>
                  </w:sdtPr>
                  <w:sdtContent>
                    <w:p>
                      <w:pPr>
                        <w:ind w:firstLine="680"/>
                        <w:jc w:val="both"/>
                        <w:rPr>
                          <w:szCs w:val="24"/>
                        </w:rPr>
                      </w:pPr>
                      <w:sdt>
                        <w:sdtPr>
                          <w:alias w:val="Numeris"/>
                          <w:tag w:val="nr_4e55f3ef181248aa8d59fbbeb9b17258"/>
                          <w:lock w:val="sdtLocked"/>
                          <w:richText/>
                        </w:sdtPr>
                        <w:sdtContent>
                          <w:r>
                            <w:rPr>
                              <w:color w:val="000000"/>
                              <w:szCs w:val="24"/>
                            </w:rPr>
                            <w:t>52.7</w:t>
                          </w:r>
                        </w:sdtContent>
                      </w:sdt>
                      <w:r>
                        <w:rPr>
                          <w:color w:val="000000"/>
                          <w:szCs w:val="24"/>
                        </w:rPr>
                        <w:t>.</w:t>
                      </w:r>
                      <w:r>
                        <w:rPr>
                          <w:rFonts w:ascii="Trebuchet MS" w:hAnsi="Trebuchet MS"/>
                          <w:color w:val="000000"/>
                          <w:sz w:val="22"/>
                          <w:szCs w:val="22"/>
                        </w:rPr>
                        <w:t xml:space="preserve"> </w:t>
                      </w:r>
                      <w:r>
                        <w:rPr>
                          <w:szCs w:val="24"/>
                        </w:rPr>
                        <w:t>mokėtojui iškeliama nemokumo (bankroto / restruktū</w:t>
                      </w:r>
                      <w:r>
                        <w:t>rizavimo) byla arba bankroto procesas vykdomas ne teismo tvarka</w:t>
                      </w:r>
                      <w:r>
                        <w:rPr>
                          <w:szCs w:val="24"/>
                        </w:rPr>
                        <w:t>;</w:t>
                      </w:r>
                    </w:p>
                  </w:sdtContent>
                </w:sdt>
                <w:sdt>
                  <w:sdtPr>
                    <w:alias w:val="52.8 pp."/>
                    <w:tag w:val="part_c67bbf2e7f244f3388c6fd171282b757"/>
                    <w:lock w:val="sdtLocked"/>
                    <w:richText/>
                  </w:sdtPr>
                  <w:sdtContent>
                    <w:p>
                      <w:pPr>
                        <w:ind w:firstLine="680"/>
                        <w:jc w:val="both"/>
                        <w:rPr>
                          <w:szCs w:val="24"/>
                        </w:rPr>
                      </w:pPr>
                      <w:sdt>
                        <w:sdtPr>
                          <w:alias w:val="Numeris"/>
                          <w:tag w:val="nr_c67bbf2e7f244f3388c6fd171282b757"/>
                          <w:lock w:val="sdtLocked"/>
                          <w:richText/>
                        </w:sdtPr>
                        <w:sdtContent>
                          <w:r>
                            <w:rPr>
                              <w:szCs w:val="24"/>
                            </w:rPr>
                            <w:t>52.8</w:t>
                          </w:r>
                        </w:sdtContent>
                      </w:sdt>
                      <w:r>
                        <w:rPr>
                          <w:szCs w:val="24"/>
                        </w:rPr>
                        <w:t xml:space="preserve">. </w:t>
                      </w:r>
                      <w:r>
                        <w:rPr>
                          <w:color w:val="000000"/>
                        </w:rPr>
                        <w:t>mokesčių administratorius gauna informaciją, kad</w:t>
                      </w:r>
                      <w:r>
                        <w:rPr>
                          <w:szCs w:val="24"/>
                        </w:rPr>
                        <w:t xml:space="preserve"> asmeniui paskirta bauda už administracinį nusižengimą yra pakeičiama viešaisiais darbais; </w:t>
                      </w:r>
                    </w:p>
                  </w:sdtContent>
                </w:sdt>
                <w:sdt>
                  <w:sdtPr>
                    <w:alias w:val="52.9 pp."/>
                    <w:tag w:val="part_e6e8679327884514bd90db076a2266cb"/>
                    <w:lock w:val="sdtLocked"/>
                    <w:richText/>
                  </w:sdtPr>
                  <w:sdtContent>
                    <w:p>
                      <w:pPr>
                        <w:ind w:firstLine="680"/>
                        <w:jc w:val="both"/>
                      </w:pPr>
                      <w:sdt>
                        <w:sdtPr>
                          <w:alias w:val="Numeris"/>
                          <w:tag w:val="nr_e6e8679327884514bd90db076a2266cb"/>
                          <w:lock w:val="sdtLocked"/>
                          <w:richText/>
                        </w:sdtPr>
                        <w:sdtContent>
                          <w:r>
                            <w:rPr>
                              <w:szCs w:val="24"/>
                            </w:rPr>
                            <w:t>52.9</w:t>
                          </w:r>
                        </w:sdtContent>
                      </w:sdt>
                      <w:r>
                        <w:rPr>
                          <w:szCs w:val="24"/>
                        </w:rPr>
                        <w:t>. mokėtojas pateikia laisvos formos prašymą nutraukti Mokestinės paskolos sutartį;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52.10 pp."/>
                    <w:tag w:val="part_44482689b7844f1ba792d1d5d81fa50c"/>
                    <w:lock w:val="sdtLocked"/>
                    <w:richText/>
                  </w:sdtPr>
                  <w:sdtContent>
                    <w:p>
                      <w:pPr>
                        <w:ind w:firstLine="680"/>
                        <w:jc w:val="both"/>
                      </w:pPr>
                      <w:sdt>
                        <w:sdtPr>
                          <w:alias w:val="Numeris"/>
                          <w:tag w:val="nr_44482689b7844f1ba792d1d5d81fa50c"/>
                          <w:lock w:val="sdtLocked"/>
                          <w:richText/>
                        </w:sdtPr>
                        <w:sdtContent>
                          <w:r>
                            <w:rPr>
                              <w:szCs w:val="24"/>
                            </w:rPr>
                            <w:t>52.10</w:t>
                          </w:r>
                        </w:sdtContent>
                      </w:sdt>
                      <w:r>
                        <w:rPr>
                          <w:szCs w:val="24"/>
                        </w:rPr>
                        <w:t>. mokėtojas apskundžia pagal Mokestinės paslolos sutartį atidėtos ir (ar) išdėstytos mokestinės nepriemokos ar baudos už administracinį nusižengimą apskaičiavimo pagrįstumą;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52.11 pp."/>
                    <w:tag w:val="part_cb6c150ea0e9415085ee5f3fc50ca9f1"/>
                    <w:lock w:val="sdtLocked"/>
                    <w:richText/>
                  </w:sdtPr>
                  <w:sdtContent>
                    <w:p>
                      <w:pPr>
                        <w:tabs>
                          <w:tab w:val="left" w:pos="0"/>
                          <w:tab w:val="num" w:pos="1134"/>
                        </w:tabs>
                        <w:ind w:firstLine="709"/>
                        <w:jc w:val="both"/>
                        <w:rPr>
                          <w:szCs w:val="24"/>
                        </w:rPr>
                      </w:pPr>
                      <w:sdt>
                        <w:sdtPr>
                          <w:alias w:val="Numeris"/>
                          <w:tag w:val="nr_cb6c150ea0e9415085ee5f3fc50ca9f1"/>
                          <w:lock w:val="sdtLocked"/>
                          <w:richText/>
                        </w:sdtPr>
                        <w:sdtContent>
                          <w:r>
                            <w:rPr>
                              <w:szCs w:val="24"/>
                            </w:rPr>
                            <w:t>52.11</w:t>
                          </w:r>
                        </w:sdtContent>
                      </w:sdt>
                      <w:r>
                        <w:rPr>
                          <w:szCs w:val="24"/>
                        </w:rPr>
                        <w:t>. pasibaigus Mokestinės paskolos sutartimi atidėtos ir (ar) išdėstytos mokestinės nepriemokos mokėjimo terminui, liko nesumokėta dalis pagal Mokestinės paskolos sutartį atidėtos ir (ar) išdėstytos mokestinės nepriemokos.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Content>
            </w:sdt>
            <w:sdt>
              <w:sdtPr>
                <w:alias w:val="53 p."/>
                <w:tag w:val="part_10e31bf381d04704af3cdae1b672a094"/>
                <w:lock w:val="sdtLocked"/>
                <w:richText/>
              </w:sdtPr>
              <w:sdtContent>
                <w:p>
                  <w:pPr>
                    <w:ind w:firstLine="680"/>
                    <w:jc w:val="both"/>
                    <w:rPr>
                      <w:szCs w:val="22"/>
                    </w:rPr>
                  </w:pPr>
                  <w:sdt>
                    <w:sdtPr>
                      <w:alias w:val="Numeris"/>
                      <w:tag w:val="nr_10e31bf381d04704af3cdae1b672a094"/>
                      <w:lock w:val="sdtLocked"/>
                      <w:richText/>
                    </w:sdtPr>
                    <w:sdtContent>
                      <w:r>
                        <w:rPr>
                          <w:szCs w:val="24"/>
                        </w:rPr>
                        <w:t>53</w:t>
                      </w:r>
                    </w:sdtContent>
                  </w:sdt>
                  <w:r>
                    <w:rPr>
                      <w:szCs w:val="24"/>
                    </w:rPr>
                    <w:t xml:space="preserve">. Mokesčių administratorius, prieš nutraukdamas Mokestinės paskolos sutartį, įteikia mokesčių mokėtojui Įspėjimą, kurio </w:t>
                  </w:r>
                  <w:r>
                    <w:rPr>
                      <w:szCs w:val="22"/>
                    </w:rPr>
                    <w:t xml:space="preserve">forma FR1093 yra patvirtinta </w:t>
                  </w:r>
                  <w:r>
                    <w:t>šiuo Valstybinės mokesčių inspekcijos prie Lietuvos Respublikos finansų ministerijos viršininko įsakymu (toliau – Įspėjimas apie ketinimą nutraukti Mokestinės paskolos sutartį)</w:t>
                  </w:r>
                  <w:r>
                    <w:rPr>
                      <w:szCs w:val="22"/>
                    </w:rPr>
                    <w:t>, kuriuo informuojama</w:t>
                  </w:r>
                  <w:r>
                    <w:rPr>
                      <w:szCs w:val="24"/>
                    </w:rPr>
                    <w:t xml:space="preserve"> apie ketinimą nutraukti Mokestinės paskolos sutartį.</w:t>
                  </w:r>
                </w:p>
              </w:sdtContent>
            </w:sdt>
            <w:sdt>
              <w:sdtPr>
                <w:alias w:val="54 p."/>
                <w:tag w:val="part_43ec81c3317e477988d8e64f2740c4d5"/>
                <w:lock w:val="sdtLocked"/>
                <w:richText/>
              </w:sdtPr>
              <w:sdtContent>
                <w:p>
                  <w:pPr>
                    <w:ind w:firstLine="680"/>
                    <w:jc w:val="both"/>
                    <w:rPr>
                      <w:szCs w:val="24"/>
                    </w:rPr>
                  </w:pPr>
                  <w:sdt>
                    <w:sdtPr>
                      <w:alias w:val="Numeris"/>
                      <w:tag w:val="nr_43ec81c3317e477988d8e64f2740c4d5"/>
                      <w:lock w:val="sdtLocked"/>
                      <w:richText/>
                    </w:sdtPr>
                    <w:sdtContent>
                      <w:r>
                        <w:rPr>
                          <w:szCs w:val="22"/>
                        </w:rPr>
                        <w:t>54</w:t>
                      </w:r>
                    </w:sdtContent>
                  </w:sdt>
                  <w:r>
                    <w:rPr>
                      <w:szCs w:val="22"/>
                    </w:rPr>
                    <w:t xml:space="preserve">. Įspėjimas </w:t>
                  </w:r>
                  <w:r>
                    <w:rPr>
                      <w:szCs w:val="24"/>
                    </w:rPr>
                    <w:t xml:space="preserve">apie ketinimą nutraukti Mokestinės paskolos sutartį siunčiamas Taisyklių </w:t>
                  </w:r>
                  <w:r>
                    <w:rPr>
                      <w:szCs w:val="24"/>
                      <w:lang w:val="en-US"/>
                    </w:rPr>
                    <w:t xml:space="preserve">52.1 </w:t>
                  </w:r>
                  <w:r>
                    <w:rPr>
                      <w:szCs w:val="24"/>
                    </w:rPr>
                    <w:t>papunktyje nurodytu</w:t>
                  </w:r>
                  <w:r>
                    <w:rPr>
                      <w:szCs w:val="24"/>
                      <w:lang w:val="en-US"/>
                    </w:rPr>
                    <w:t xml:space="preserve"> </w:t>
                  </w:r>
                  <w:r>
                    <w:rPr>
                      <w:szCs w:val="24"/>
                    </w:rPr>
                    <w:t xml:space="preserve">pagrindu. </w:t>
                  </w:r>
                </w:p>
              </w:sdtContent>
            </w:sdt>
            <w:sdt>
              <w:sdtPr>
                <w:alias w:val="55 p."/>
                <w:tag w:val="part_85be50b4f0fd4c7c8a90a6ddc885a240"/>
                <w:lock w:val="sdtLocked"/>
                <w:richText/>
              </w:sdtPr>
              <w:sdtContent>
                <w:p>
                  <w:pPr>
                    <w:ind w:firstLine="680"/>
                    <w:jc w:val="both"/>
                    <w:rPr>
                      <w:szCs w:val="24"/>
                    </w:rPr>
                  </w:pPr>
                  <w:sdt>
                    <w:sdtPr>
                      <w:alias w:val="Numeris"/>
                      <w:tag w:val="nr_85be50b4f0fd4c7c8a90a6ddc885a240"/>
                      <w:lock w:val="sdtLocked"/>
                      <w:richText/>
                    </w:sdtPr>
                    <w:sdtContent>
                      <w:r>
                        <w:rPr>
                          <w:szCs w:val="24"/>
                          <w:lang w:val="en-US"/>
                        </w:rPr>
                        <w:t>55</w:t>
                      </w:r>
                    </w:sdtContent>
                  </w:sdt>
                  <w:r>
                    <w:rPr>
                      <w:szCs w:val="24"/>
                    </w:rPr>
                    <w:t xml:space="preserve">. Įspėjime apie ketinimą nutraukti Mokestinės paskolos sutartį nurodomas </w:t>
                  </w:r>
                  <w:r>
                    <w:rPr>
                      <w:szCs w:val="24"/>
                      <w:lang w:val="en-US"/>
                    </w:rPr>
                    <w:t xml:space="preserve">20 </w:t>
                  </w:r>
                  <w:r>
                    <w:rPr>
                      <w:szCs w:val="24"/>
                    </w:rPr>
                    <w:t>dienų terminas, per kurį mokesčių mokėtojas turi įvykdyti šiame Įspėjime išdėstytus nurodymus.</w:t>
                  </w:r>
                </w:p>
              </w:sdtContent>
            </w:sdt>
            <w:sdt>
              <w:sdtPr>
                <w:alias w:val="56 p."/>
                <w:tag w:val="part_7e5a8bf0563346f7bde50a5f30a0d63b"/>
                <w:lock w:val="sdtLocked"/>
                <w:richText/>
              </w:sdtPr>
              <w:sdtContent>
                <w:p>
                  <w:pPr>
                    <w:ind w:firstLine="709"/>
                    <w:jc w:val="both"/>
                    <w:rPr>
                      <w:szCs w:val="24"/>
                    </w:rPr>
                  </w:pPr>
                  <w:sdt>
                    <w:sdtPr>
                      <w:alias w:val="Numeris"/>
                      <w:tag w:val="nr_7e5a8bf0563346f7bde50a5f30a0d63b"/>
                      <w:lock w:val="sdtLocked"/>
                      <w:richText/>
                    </w:sdtPr>
                    <w:sdtContent>
                      <w:r>
                        <w:rPr>
                          <w:szCs w:val="24"/>
                        </w:rPr>
                        <w:t>56</w:t>
                      </w:r>
                    </w:sdtContent>
                  </w:sdt>
                  <w:r>
                    <w:rPr>
                      <w:szCs w:val="24"/>
                    </w:rPr>
                    <w:t xml:space="preserve">. Jeigu asmuo, kuriam paskirta bauda už administracinį nusižengimą, nesilaiko Mokestinės paskolos sutarties sąlygų ir laiku nesumoka baudos už administracinį nusižengimą dalies pagal Mokestinės paskolos sutarties grafiką, praėjus 5 darbo dienoms nuo Mokestinės paskolos sutarties grafike numatytos įmokos mokėjimo dienos, Mokestinės paskolos sutartis be atskiro mokesčių administratoriaus Įspėjimo gali būti nutraukiama ir pradedami taikyti priverstinio išieškojimo veiksmai. Mokestinės paskolos sutartis nutraukiama, kai atsiranda </w:t>
                  </w:r>
                  <w:r>
                    <w:rPr>
                      <w:szCs w:val="22"/>
                    </w:rPr>
                    <w:t xml:space="preserve">bent vienas iš </w:t>
                  </w:r>
                  <w:r>
                    <w:rPr>
                      <w:szCs w:val="24"/>
                    </w:rPr>
                    <w:t xml:space="preserve">Taisyklių </w:t>
                  </w:r>
                  <w:r>
                    <w:t>52.2–52.</w:t>
                  </w:r>
                  <w:r>
                    <w:rPr>
                      <w:lang w:val="en-US"/>
                    </w:rPr>
                    <w:t>10</w:t>
                  </w:r>
                  <w:r>
                    <w:t xml:space="preserve"> papunkčiuose nurodytų pagrindų.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57 p."/>
                <w:tag w:val="part_c30fbddaa831411b80413e2887a41d64"/>
                <w:lock w:val="sdtLocked"/>
                <w:richText/>
              </w:sdtPr>
              <w:sdtContent>
                <w:p>
                  <w:pPr>
                    <w:ind w:firstLine="680"/>
                    <w:jc w:val="both"/>
                    <w:rPr>
                      <w:szCs w:val="24"/>
                    </w:rPr>
                  </w:pPr>
                  <w:sdt>
                    <w:sdtPr>
                      <w:alias w:val="Numeris"/>
                      <w:tag w:val="nr_c30fbddaa831411b80413e2887a41d64"/>
                      <w:lock w:val="sdtLocked"/>
                      <w:richText/>
                    </w:sdtPr>
                    <w:sdtContent>
                      <w:r>
                        <w:rPr>
                          <w:szCs w:val="24"/>
                        </w:rPr>
                        <w:t>57</w:t>
                      </w:r>
                    </w:sdtContent>
                  </w:sdt>
                  <w:r>
                    <w:rPr>
                      <w:szCs w:val="24"/>
                    </w:rPr>
                    <w:t xml:space="preserve">. Jeigu mokestinė nepriemoka, kurios mokėjimas atidėtas ir (ar) išdėstytas, per Mokestinės paskolos sutarties galiojimo laikotarpį nesumokama ar sumokama tik jos dalis ir Mokestinės paskolos sutartis nutraukiama (t. y. jeigu Mokestinės paskolos sutarties galiojimo metu buvo faktiškai pasinaudota mažesne už suteiktą paskolą suma), už mokestinę paskolą sumokėta palūkanų suma perskaičiuojama, atsižvelgiant į faktiškai panaudotą mokestinės paskolos sumą, o nuo likusių nesumokėtų mokesčių </w:t>
                  </w:r>
                  <w:r>
                    <w:rPr>
                      <w:iCs/>
                      <w:color w:val="000000"/>
                      <w:szCs w:val="24"/>
                    </w:rPr>
                    <w:t>MAĮ</w:t>
                  </w:r>
                  <w:r>
                    <w:rPr>
                      <w:szCs w:val="24"/>
                    </w:rPr>
                    <w:t xml:space="preserve"> nustatyta tvarka skaičiuojami delspinigiai. Tokiu atveju perskaičiuotų palūkanų likutis įskaitomas mokesčių mokėtojo nepriemokai padengti.</w:t>
                  </w:r>
                </w:p>
                <w:p>
                  <w:pPr>
                    <w:jc w:val="center"/>
                    <w:rPr>
                      <w:b/>
                      <w:szCs w:val="24"/>
                    </w:rPr>
                  </w:pPr>
                </w:p>
              </w:sdtContent>
            </w:sdt>
          </w:sdtContent>
        </w:sdt>
        <w:sdt>
          <w:sdtPr>
            <w:alias w:val="skyrius"/>
            <w:tag w:val="part_f3e99af2201240af9f1ee91b65341c27"/>
            <w:lock w:val="sdtLocked"/>
            <w:richText/>
          </w:sdtPr>
          <w:sdtContent>
            <w:p>
              <w:pPr>
                <w:jc w:val="center"/>
                <w:rPr>
                  <w:b/>
                  <w:szCs w:val="24"/>
                </w:rPr>
              </w:pPr>
              <w:sdt>
                <w:sdtPr>
                  <w:alias w:val="Numeris"/>
                  <w:tag w:val="nr_f3e99af2201240af9f1ee91b65341c27"/>
                  <w:lock w:val="sdtLocked"/>
                  <w:richText/>
                </w:sdtPr>
                <w:sdtContent>
                  <w:r>
                    <w:rPr>
                      <w:b/>
                      <w:szCs w:val="24"/>
                    </w:rPr>
                    <w:t>VII</w:t>
                  </w:r>
                </w:sdtContent>
              </w:sdt>
              <w:r>
                <w:rPr>
                  <w:b/>
                  <w:szCs w:val="24"/>
                </w:rPr>
                <w:t xml:space="preserve"> SKYRIUS</w:t>
              </w:r>
            </w:p>
            <w:p>
              <w:pPr>
                <w:ind w:firstLine="680"/>
                <w:jc w:val="center"/>
                <w:rPr>
                  <w:b/>
                  <w:szCs w:val="24"/>
                </w:rPr>
              </w:pPr>
              <w:sdt>
                <w:sdtPr>
                  <w:alias w:val="Pavadinimas"/>
                  <w:tag w:val="title_f3e99af2201240af9f1ee91b65341c27"/>
                  <w:lock w:val="sdtLocked"/>
                  <w:richText/>
                </w:sdtPr>
                <w:sdtContent>
                  <w:r>
                    <w:rPr>
                      <w:b/>
                      <w:szCs w:val="24"/>
                    </w:rPr>
                    <w:t xml:space="preserve">NEREIKŠMINGOS VALSTYBĖS PAGALBOS </w:t>
                  </w:r>
                  <w:r>
                    <w:rPr>
                      <w:b/>
                      <w:i/>
                      <w:szCs w:val="24"/>
                    </w:rPr>
                    <w:t>DE MINIMIS</w:t>
                  </w:r>
                  <w:r>
                    <w:rPr>
                      <w:b/>
                      <w:szCs w:val="24"/>
                    </w:rPr>
                    <w:t xml:space="preserve"> SUTEIKIMAS</w:t>
                  </w:r>
                </w:sdtContent>
              </w:sdt>
            </w:p>
            <w:p>
              <w:pPr>
                <w:ind w:firstLine="680"/>
                <w:jc w:val="center"/>
                <w:rPr>
                  <w:szCs w:val="24"/>
                </w:rPr>
              </w:pPr>
            </w:p>
            <w:sdt>
              <w:sdtPr>
                <w:alias w:val="58 p."/>
                <w:tag w:val="part_1d5c680f25bd442ab0aa241af4860f90"/>
                <w:lock w:val="sdtLocked"/>
                <w:richText/>
              </w:sdtPr>
              <w:sdtContent>
                <w:p>
                  <w:pPr>
                    <w:ind w:firstLine="680"/>
                    <w:jc w:val="both"/>
                    <w:rPr>
                      <w:szCs w:val="24"/>
                    </w:rPr>
                  </w:pPr>
                  <w:sdt>
                    <w:sdtPr>
                      <w:alias w:val="Numeris"/>
                      <w:tag w:val="nr_1d5c680f25bd442ab0aa241af4860f90"/>
                      <w:lock w:val="sdtLocked"/>
                      <w:richText/>
                    </w:sdtPr>
                    <w:sdtContent>
                      <w:r>
                        <w:rPr>
                          <w:szCs w:val="24"/>
                        </w:rPr>
                        <w:t>58</w:t>
                      </w:r>
                    </w:sdtContent>
                  </w:sdt>
                  <w:r>
                    <w:rPr>
                      <w:szCs w:val="24"/>
                    </w:rPr>
                    <w:t xml:space="preserve">. Nereikšminga </w:t>
                  </w:r>
                  <w:r>
                    <w:rPr>
                      <w:i/>
                      <w:szCs w:val="24"/>
                    </w:rPr>
                    <w:t xml:space="preserve">de minimis </w:t>
                  </w:r>
                  <w:r>
                    <w:rPr>
                      <w:szCs w:val="24"/>
                    </w:rPr>
                    <w:t xml:space="preserve">pagalba (toliau – </w:t>
                  </w:r>
                  <w:r>
                    <w:rPr>
                      <w:i/>
                      <w:szCs w:val="24"/>
                    </w:rPr>
                    <w:t>de minimis</w:t>
                  </w:r>
                  <w:r>
                    <w:rPr>
                      <w:szCs w:val="24"/>
                    </w:rPr>
                    <w:t xml:space="preserve"> pagalba) teikiama, vadovaujantis Komisijos </w:t>
                  </w:r>
                  <w:r>
                    <w:t>reglamentu (ES) 2023/2831</w:t>
                  </w:r>
                  <w:r>
                    <w:rPr>
                      <w:spacing w:val="2"/>
                      <w:szCs w:val="24"/>
                      <w:shd w:val="clear" w:color="auto" w:fill="F8F8F8"/>
                    </w:rPr>
                    <w:t xml:space="preserve">, </w:t>
                  </w:r>
                  <w:r>
                    <w:rPr>
                      <w:szCs w:val="24"/>
                    </w:rPr>
                    <w:t xml:space="preserve">Komisijos reglamentu (ES) Nr. 1408/2013, Komisijos reglamentu (ES) Nr. 717/2014, atsižvelgiant į mokesčių mokėtojo veiklos sritį. </w:t>
                  </w:r>
                </w:p>
              </w:sdtContent>
            </w:sdt>
            <w:sdt>
              <w:sdtPr>
                <w:alias w:val="59 p."/>
                <w:tag w:val="part_19cb918e00bc4088b358827918b6bfe9"/>
                <w:lock w:val="sdtLocked"/>
                <w:richText/>
              </w:sdtPr>
              <w:sdtContent>
                <w:p>
                  <w:pPr>
                    <w:ind w:firstLine="680"/>
                    <w:jc w:val="both"/>
                    <w:rPr>
                      <w:color w:val="0070C0"/>
                      <w:szCs w:val="24"/>
                    </w:rPr>
                  </w:pPr>
                  <w:sdt>
                    <w:sdtPr>
                      <w:alias w:val="Numeris"/>
                      <w:tag w:val="nr_19cb918e00bc4088b358827918b6bfe9"/>
                      <w:lock w:val="sdtLocked"/>
                      <w:richText/>
                    </w:sdtPr>
                    <w:sdtContent>
                      <w:r>
                        <w:rPr>
                          <w:szCs w:val="24"/>
                        </w:rPr>
                        <w:t>59</w:t>
                      </w:r>
                    </w:sdtContent>
                  </w:sdt>
                  <w:r>
                    <w:rPr>
                      <w:szCs w:val="24"/>
                    </w:rPr>
                    <w:t xml:space="preserve">. </w:t>
                  </w:r>
                  <w:r>
                    <w:rPr>
                      <w:szCs w:val="24"/>
                      <w:lang w:val="en-US"/>
                    </w:rPr>
                    <w:t xml:space="preserve">Bendra Vienai įmonei suteikta </w:t>
                  </w:r>
                  <w:r>
                    <w:rPr>
                      <w:i/>
                      <w:szCs w:val="24"/>
                      <w:lang w:val="en-US"/>
                    </w:rPr>
                    <w:t>de minimis</w:t>
                  </w:r>
                  <w:r>
                    <w:rPr>
                      <w:szCs w:val="24"/>
                      <w:lang w:val="en-US"/>
                    </w:rPr>
                    <w:t xml:space="preserve"> pagalbos suma turi neviršyti atitinkamuose Europos Komisijos reglamentuose, kurie nurodyti Taisyklių 58 punkte, </w:t>
                  </w:r>
                  <w:r>
                    <w:rPr>
                      <w:szCs w:val="24"/>
                    </w:rPr>
                    <w:t xml:space="preserve">nustatytos leistinos ribos pagal Komisijos reglamentą (ES) Nr. 1408/2013, Komisijos reglamentą (ES) 2023/2831, per </w:t>
                  </w:r>
                  <w:r>
                    <w:rPr>
                      <w:szCs w:val="24"/>
                      <w:lang w:val="en-US"/>
                    </w:rPr>
                    <w:t>bet kurį trejų metų laikotarpį, pagal</w:t>
                  </w:r>
                  <w:r>
                    <w:rPr>
                      <w:szCs w:val="24"/>
                    </w:rPr>
                    <w:t xml:space="preserve"> Komisijos reglamentą (ES) Nr. 717/2014 </w:t>
                  </w:r>
                  <w:r>
                    <w:rPr>
                      <w:szCs w:val="24"/>
                      <w:lang w:val="en-US"/>
                    </w:rPr>
                    <w:t xml:space="preserve">per bet kurį trejų finansinių metų laikotarpį. </w:t>
                  </w:r>
                  <w:r>
                    <w:rPr>
                      <w:i/>
                      <w:szCs w:val="24"/>
                    </w:rPr>
                    <w:t>De minimis</w:t>
                  </w:r>
                  <w:r>
                    <w:rPr>
                      <w:szCs w:val="24"/>
                    </w:rPr>
                    <w:t xml:space="preserve"> pagalba laikoma suteikta Mokestinės paskolos sutarties sudarymo dieną.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60 p."/>
                <w:tag w:val="part_c24ce559043d447e8026348c7ac63efe"/>
                <w:lock w:val="sdtLocked"/>
                <w:richText/>
              </w:sdtPr>
              <w:sdtContent>
                <w:p>
                  <w:pPr>
                    <w:ind w:firstLine="709"/>
                    <w:jc w:val="both"/>
                    <w:rPr>
                      <w:szCs w:val="24"/>
                    </w:rPr>
                  </w:pPr>
                  <w:sdt>
                    <w:sdtPr>
                      <w:alias w:val="Numeris"/>
                      <w:tag w:val="nr_c24ce559043d447e8026348c7ac63efe"/>
                      <w:lock w:val="sdtLocked"/>
                      <w:richText/>
                    </w:sdtPr>
                    <w:sdtContent>
                      <w:r>
                        <w:rPr>
                          <w:szCs w:val="24"/>
                        </w:rPr>
                        <w:t>60</w:t>
                      </w:r>
                    </w:sdtContent>
                  </w:sdt>
                  <w:r>
                    <w:rPr>
                      <w:szCs w:val="24"/>
                    </w:rPr>
                    <w:t xml:space="preserve">. Šių Taisyklių nustatyta tvarka suteikta nereikšminga </w:t>
                  </w:r>
                  <w:r>
                    <w:rPr>
                      <w:i/>
                      <w:szCs w:val="24"/>
                    </w:rPr>
                    <w:t>de minimis</w:t>
                  </w:r>
                  <w:r>
                    <w:rPr>
                      <w:szCs w:val="24"/>
                    </w:rPr>
                    <w:t xml:space="preserve"> pagalba sumuojama tik su kita </w:t>
                  </w:r>
                  <w:r>
                    <w:rPr>
                      <w:i/>
                      <w:szCs w:val="24"/>
                    </w:rPr>
                    <w:t xml:space="preserve">de minimis </w:t>
                  </w:r>
                  <w:r>
                    <w:rPr>
                      <w:szCs w:val="24"/>
                    </w:rPr>
                    <w:t xml:space="preserve">pagalba, suteikta pagal Komisijos reglamentus (ES), nurodytus Taisyklių 58 punkte, ir pagal 2023 m. gruodžio 13 d. Komisijos reglamentą (ES) 2023/2832 dėl Sutarties dėl Europos Sąjungos veikimo 107 ir 108 straipsnių taikymo </w:t>
                  </w:r>
                  <w:r>
                    <w:rPr>
                      <w:i/>
                      <w:szCs w:val="24"/>
                    </w:rPr>
                    <w:t>de minimis</w:t>
                  </w:r>
                  <w:r>
                    <w:rPr>
                      <w:szCs w:val="24"/>
                    </w:rPr>
                    <w:t xml:space="preserve"> pagalbai, skiriamai visuotinės ekonominės svarbos paslaugas teikiančioms įmonėms;</w:t>
                  </w:r>
                </w:p>
              </w:sdtContent>
            </w:sdt>
            <w:sdt>
              <w:sdtPr>
                <w:alias w:val="61 p."/>
                <w:tag w:val="part_64378a1625b647cd99034e4814c87113"/>
                <w:lock w:val="sdtLocked"/>
                <w:richText/>
              </w:sdtPr>
              <w:sdtContent>
                <w:p>
                  <w:pPr>
                    <w:ind w:firstLine="680"/>
                    <w:jc w:val="both"/>
                    <w:rPr>
                      <w:szCs w:val="24"/>
                      <w:lang w:val="en-US"/>
                    </w:rPr>
                  </w:pPr>
                  <w:sdt>
                    <w:sdtPr>
                      <w:alias w:val="Numeris"/>
                      <w:tag w:val="nr_64378a1625b647cd99034e4814c87113"/>
                      <w:lock w:val="sdtLocked"/>
                      <w:richText/>
                    </w:sdtPr>
                    <w:sdtContent>
                      <w:r>
                        <w:rPr>
                          <w:szCs w:val="24"/>
                          <w:lang w:val="en-US"/>
                        </w:rPr>
                        <w:t>61</w:t>
                      </w:r>
                    </w:sdtContent>
                  </w:sdt>
                  <w:r>
                    <w:rPr>
                      <w:szCs w:val="24"/>
                      <w:lang w:val="en-US"/>
                    </w:rPr>
                    <w:t xml:space="preserve">. Apskaičiuojant </w:t>
                  </w:r>
                  <w:r>
                    <w:rPr>
                      <w:i/>
                      <w:szCs w:val="24"/>
                      <w:lang w:val="en-US"/>
                    </w:rPr>
                    <w:t>de minimis</w:t>
                  </w:r>
                  <w:r>
                    <w:rPr>
                      <w:szCs w:val="24"/>
                      <w:lang w:val="en-US"/>
                    </w:rPr>
                    <w:t xml:space="preserve"> pagalbą mokesčių mokėtojų – juridinių asmenų, susijungimo ar prijungimo atveju, atsižvelgiama į visą ankstesnę jau suteiktą </w:t>
                  </w:r>
                  <w:r>
                    <w:rPr>
                      <w:i/>
                      <w:szCs w:val="24"/>
                      <w:lang w:val="en-US"/>
                    </w:rPr>
                    <w:t>de minimis</w:t>
                  </w:r>
                  <w:r>
                    <w:rPr>
                      <w:szCs w:val="24"/>
                      <w:lang w:val="en-US"/>
                    </w:rPr>
                    <w:t xml:space="preserve"> pagalbą. </w:t>
                  </w:r>
                  <w:r>
                    <w:rPr>
                      <w:i/>
                      <w:szCs w:val="24"/>
                      <w:lang w:val="en-US"/>
                    </w:rPr>
                    <w:t>De minimis</w:t>
                  </w:r>
                  <w:r>
                    <w:rPr>
                      <w:szCs w:val="24"/>
                      <w:lang w:val="en-US"/>
                    </w:rPr>
                    <w:t xml:space="preserve"> pagalba, kuri teis</w:t>
                  </w:r>
                  <w:r>
                    <w:rPr>
                      <w:szCs w:val="24"/>
                    </w:rPr>
                    <w:t xml:space="preserve">ėtai </w:t>
                  </w:r>
                  <w:r>
                    <w:rPr>
                      <w:szCs w:val="24"/>
                      <w:lang w:val="en-US"/>
                    </w:rPr>
                    <w:t>suteikta prieš susijungimą arba prijungimą, tebėra teisėta.</w:t>
                  </w:r>
                </w:p>
              </w:sdtContent>
            </w:sdt>
            <w:sdt>
              <w:sdtPr>
                <w:alias w:val="62 p."/>
                <w:tag w:val="part_26805f1bc1214c64b884798635db5f8a"/>
                <w:lock w:val="sdtLocked"/>
                <w:richText/>
              </w:sdtPr>
              <w:sdtContent>
                <w:p>
                  <w:pPr>
                    <w:ind w:firstLine="680"/>
                    <w:jc w:val="both"/>
                    <w:rPr>
                      <w:szCs w:val="24"/>
                      <w:lang w:val="en-US"/>
                    </w:rPr>
                  </w:pPr>
                  <w:sdt>
                    <w:sdtPr>
                      <w:alias w:val="Numeris"/>
                      <w:tag w:val="nr_26805f1bc1214c64b884798635db5f8a"/>
                      <w:lock w:val="sdtLocked"/>
                      <w:richText/>
                    </w:sdtPr>
                    <w:sdtContent>
                      <w:r>
                        <w:rPr>
                          <w:szCs w:val="24"/>
                          <w:lang w:val="en-US"/>
                        </w:rPr>
                        <w:t>62</w:t>
                      </w:r>
                    </w:sdtContent>
                  </w:sdt>
                  <w:r>
                    <w:rPr>
                      <w:szCs w:val="24"/>
                      <w:lang w:val="en-US"/>
                    </w:rPr>
                    <w:t xml:space="preserve">. Tuo atveju, kai </w:t>
                  </w:r>
                  <w:r>
                    <w:rPr>
                      <w:szCs w:val="24"/>
                      <w:shd w:val="clear" w:color="auto" w:fill="FFFFFF"/>
                      <w:lang w:val="en-US"/>
                    </w:rPr>
                    <w:t xml:space="preserve">reorganizuojamo </w:t>
                  </w:r>
                  <w:r>
                    <w:rPr>
                      <w:szCs w:val="24"/>
                      <w:lang w:val="en-US"/>
                    </w:rPr>
                    <w:t>mokesčių mokėtojo – juridinio asmens,</w:t>
                  </w:r>
                  <w:r>
                    <w:rPr>
                      <w:szCs w:val="24"/>
                      <w:shd w:val="clear" w:color="auto" w:fill="FFFFFF"/>
                      <w:lang w:val="en-US"/>
                    </w:rPr>
                    <w:t xml:space="preserve"> pagrindu įsteigiami du ar daugiau mokesčių mokėtojų – juridinių asmenų,</w:t>
                  </w:r>
                  <w:r>
                    <w:rPr>
                      <w:szCs w:val="24"/>
                      <w:lang w:val="en-US"/>
                    </w:rPr>
                    <w:t xml:space="preserve"> iki padalijimo suteikta </w:t>
                  </w:r>
                  <w:r>
                    <w:rPr>
                      <w:i/>
                      <w:szCs w:val="24"/>
                      <w:lang w:val="en-US"/>
                    </w:rPr>
                    <w:t>de minimis</w:t>
                  </w:r>
                  <w:r>
                    <w:rPr>
                      <w:szCs w:val="24"/>
                      <w:lang w:val="en-US"/>
                    </w:rPr>
                    <w:t xml:space="preserve"> pagalba priskiriama mokes</w:t>
                  </w:r>
                  <w:r>
                    <w:rPr>
                      <w:szCs w:val="24"/>
                    </w:rPr>
                    <w:t>čių mokėtojui – juridiniam asmeniui</w:t>
                  </w:r>
                  <w:r>
                    <w:rPr>
                      <w:szCs w:val="24"/>
                      <w:lang w:val="en-US"/>
                    </w:rPr>
                    <w:t xml:space="preserve">, kuris ja pasinaudojo. </w:t>
                  </w:r>
                </w:p>
              </w:sdtContent>
            </w:sdt>
            <w:sdt>
              <w:sdtPr>
                <w:alias w:val="63 p."/>
                <w:tag w:val="part_e0519fc3e91546328c058d5f0933273d"/>
                <w:lock w:val="sdtLocked"/>
                <w:richText/>
              </w:sdtPr>
              <w:sdtContent>
                <w:p>
                  <w:pPr>
                    <w:shd w:val="clear" w:color="auto" w:fill="FFFFFF"/>
                    <w:ind w:firstLine="709"/>
                    <w:jc w:val="both"/>
                    <w:rPr>
                      <w:spacing w:val="2"/>
                      <w:szCs w:val="24"/>
                      <w:lang w:eastAsia="lt-LT"/>
                    </w:rPr>
                  </w:pPr>
                  <w:sdt>
                    <w:sdtPr>
                      <w:alias w:val="Numeris"/>
                      <w:tag w:val="nr_e0519fc3e91546328c058d5f0933273d"/>
                      <w:lock w:val="sdtLocked"/>
                      <w:richText/>
                    </w:sdtPr>
                    <w:sdtContent>
                      <w:r>
                        <w:rPr>
                          <w:spacing w:val="2"/>
                          <w:szCs w:val="24"/>
                          <w:shd w:val="clear" w:color="auto" w:fill="FFFFFF"/>
                        </w:rPr>
                        <w:t>63</w:t>
                      </w:r>
                    </w:sdtContent>
                  </w:sdt>
                  <w:r>
                    <w:rPr>
                      <w:spacing w:val="2"/>
                      <w:szCs w:val="24"/>
                      <w:shd w:val="clear" w:color="auto" w:fill="FFFFFF"/>
                    </w:rPr>
                    <w:t xml:space="preserve">. Tuo atveju, jei mokesčių mokėtojas vykdo veiklą viename iš </w:t>
                  </w:r>
                  <w:r>
                    <w:rPr>
                      <w:spacing w:val="2"/>
                      <w:szCs w:val="24"/>
                      <w:lang w:eastAsia="lt-LT"/>
                    </w:rPr>
                    <w:t xml:space="preserve">sektorių, nurodytų </w:t>
                  </w:r>
                  <w:r>
                    <w:t xml:space="preserve">Komisijos reglamento (ES) 2023/2831 1 straipsnio 1 dalies a, b, c arba d punkte, ir taip pat vykdo veiklą viename ar keliuose kituose sektoriuose, kuriems taikomas šis reglamentas, ir </w:t>
                  </w:r>
                  <w:r>
                    <w:rPr>
                      <w:spacing w:val="2"/>
                      <w:szCs w:val="24"/>
                      <w:lang w:eastAsia="lt-LT"/>
                    </w:rPr>
                    <w:t>neįmanoma užtikrinti, kad veiklai sektoriuose, kuriems taikomos mažesnės </w:t>
                  </w:r>
                  <w:r>
                    <w:rPr>
                      <w:i/>
                      <w:iCs/>
                      <w:spacing w:val="2"/>
                      <w:szCs w:val="24"/>
                      <w:lang w:eastAsia="lt-LT"/>
                    </w:rPr>
                    <w:t>de minimis </w:t>
                  </w:r>
                  <w:r>
                    <w:rPr>
                      <w:spacing w:val="2"/>
                      <w:szCs w:val="24"/>
                      <w:lang w:eastAsia="lt-LT"/>
                    </w:rPr>
                    <w:t>viršutinės ribos, </w:t>
                  </w:r>
                  <w:r>
                    <w:rPr>
                      <w:i/>
                      <w:iCs/>
                      <w:spacing w:val="2"/>
                      <w:szCs w:val="24"/>
                      <w:lang w:eastAsia="lt-LT"/>
                    </w:rPr>
                    <w:t>de minimis </w:t>
                  </w:r>
                  <w:r>
                    <w:rPr>
                      <w:spacing w:val="2"/>
                      <w:szCs w:val="24"/>
                      <w:lang w:eastAsia="lt-LT"/>
                    </w:rPr>
                    <w:t>pagalba būtų teikiama, tik neviršijant tų mažesnių ribų, mokesčių mokėtojui taikoma mažiausia leistina riba.</w:t>
                  </w:r>
                </w:p>
              </w:sdtContent>
            </w:sdt>
            <w:sdt>
              <w:sdtPr>
                <w:alias w:val="64 p."/>
                <w:tag w:val="part_674f6388dc1b4b87870d1a410062246a"/>
                <w:lock w:val="sdtLocked"/>
                <w:richText/>
              </w:sdtPr>
              <w:sdtContent>
                <w:p>
                  <w:pPr>
                    <w:ind w:firstLine="680"/>
                    <w:jc w:val="both"/>
                    <w:rPr>
                      <w:rFonts w:ascii="TimesLT" w:hAnsi="TimesLT"/>
                      <w:sz w:val="20"/>
                      <w:szCs w:val="24"/>
                      <w:lang w:val="en-US"/>
                    </w:rPr>
                  </w:pPr>
                  <w:sdt>
                    <w:sdtPr>
                      <w:alias w:val="Numeris"/>
                      <w:tag w:val="nr_674f6388dc1b4b87870d1a410062246a"/>
                      <w:lock w:val="sdtLocked"/>
                      <w:richText/>
                    </w:sdtPr>
                    <w:sdtContent>
                      <w:r>
                        <w:rPr>
                          <w:spacing w:val="2"/>
                          <w:szCs w:val="24"/>
                          <w:shd w:val="clear" w:color="auto" w:fill="F8F8F8"/>
                        </w:rPr>
                        <w:t>6</w:t>
                      </w:r>
                      <w:r>
                        <w:rPr>
                          <w:spacing w:val="2"/>
                          <w:szCs w:val="24"/>
                          <w:shd w:val="clear" w:color="auto" w:fill="F8F8F8"/>
                          <w:lang w:val="en-US"/>
                        </w:rPr>
                        <w:t>4</w:t>
                      </w:r>
                    </w:sdtContent>
                  </w:sdt>
                  <w:r>
                    <w:rPr>
                      <w:spacing w:val="2"/>
                      <w:szCs w:val="24"/>
                      <w:shd w:val="clear" w:color="auto" w:fill="F8F8F8"/>
                    </w:rPr>
                    <w:t xml:space="preserve">. </w:t>
                  </w:r>
                  <w:r>
                    <w:rPr>
                      <w:szCs w:val="24"/>
                    </w:rPr>
                    <w:t xml:space="preserve">Suteiktos </w:t>
                  </w:r>
                  <w:r>
                    <w:rPr>
                      <w:i/>
                      <w:szCs w:val="24"/>
                    </w:rPr>
                    <w:t>de minimis</w:t>
                  </w:r>
                  <w:r>
                    <w:rPr>
                      <w:szCs w:val="24"/>
                    </w:rPr>
                    <w:t xml:space="preserve"> pagalbos dydis apskaičiuojamas </w:t>
                  </w:r>
                  <w:r>
                    <w:rPr>
                      <w:szCs w:val="24"/>
                      <w:lang w:val="en-US"/>
                    </w:rPr>
                    <w:t xml:space="preserve">bendruoju subsidijos ekvivalentu, remiantis pagalbos suteikimo metu galiojusia orientacine norma. </w:t>
                  </w:r>
                </w:p>
              </w:sdtContent>
            </w:sdt>
            <w:sdt>
              <w:sdtPr>
                <w:alias w:val="65 p."/>
                <w:tag w:val="part_27f8768dd8cb4dd3b7d014726ba9ae80"/>
                <w:lock w:val="sdtLocked"/>
                <w:richText/>
              </w:sdtPr>
              <w:sdtContent>
                <w:p>
                  <w:pPr>
                    <w:ind w:firstLine="680"/>
                    <w:jc w:val="both"/>
                    <w:rPr>
                      <w:szCs w:val="24"/>
                    </w:rPr>
                  </w:pPr>
                  <w:sdt>
                    <w:sdtPr>
                      <w:alias w:val="Numeris"/>
                      <w:tag w:val="nr_27f8768dd8cb4dd3b7d014726ba9ae80"/>
                      <w:lock w:val="sdtLocked"/>
                      <w:richText/>
                    </w:sdtPr>
                    <w:sdtContent>
                      <w:r>
                        <w:rPr>
                          <w:szCs w:val="24"/>
                        </w:rPr>
                        <w:t>65</w:t>
                      </w:r>
                    </w:sdtContent>
                  </w:sdt>
                  <w:r>
                    <w:rPr>
                      <w:szCs w:val="24"/>
                    </w:rPr>
                    <w:t xml:space="preserve">. Duomenys apie suteiktą </w:t>
                  </w:r>
                  <w:r>
                    <w:rPr>
                      <w:i/>
                      <w:szCs w:val="24"/>
                    </w:rPr>
                    <w:t>de minimis</w:t>
                  </w:r>
                  <w:r>
                    <w:rPr>
                      <w:szCs w:val="24"/>
                    </w:rPr>
                    <w:t xml:space="preserve"> pagalbą </w:t>
                  </w:r>
                  <w:r>
                    <w:rPr>
                      <w:szCs w:val="24"/>
                      <w:lang w:val="en-US" w:eastAsia="lt-LT"/>
                    </w:rPr>
                    <w:t>per 5 darbo dienas nuo Mokestin</w:t>
                  </w:r>
                  <w:r>
                    <w:rPr>
                      <w:szCs w:val="24"/>
                      <w:lang w:eastAsia="lt-LT"/>
                    </w:rPr>
                    <w:t>ės paskolos sutarties</w:t>
                  </w:r>
                  <w:r>
                    <w:rPr>
                      <w:szCs w:val="24"/>
                      <w:lang w:val="en-US" w:eastAsia="lt-LT"/>
                    </w:rPr>
                    <w:t xml:space="preserve"> sudarymo dienos</w:t>
                  </w:r>
                  <w:r>
                    <w:rPr>
                      <w:szCs w:val="24"/>
                    </w:rPr>
                    <w:t xml:space="preserve"> registruojami Registre.</w:t>
                  </w:r>
                </w:p>
              </w:sdtContent>
            </w:sdt>
            <w:sdt>
              <w:sdtPr>
                <w:alias w:val="66 p."/>
                <w:tag w:val="part_2a16006b739947f99218282a0da7ff81"/>
                <w:lock w:val="sdtLocked"/>
                <w:richText/>
              </w:sdtPr>
              <w:sdtContent>
                <w:p>
                  <w:pPr>
                    <w:tabs>
                      <w:tab w:val="left" w:pos="4512"/>
                      <w:tab w:val="center" w:pos="4680"/>
                      <w:tab w:val="left" w:pos="6360"/>
                      <w:tab w:val="left" w:leader="dot" w:pos="9071"/>
                      <w:tab w:val="right" w:pos="9360"/>
                    </w:tabs>
                    <w:ind w:firstLine="709"/>
                    <w:jc w:val="both"/>
                    <w:rPr>
                      <w:szCs w:val="24"/>
                      <w:lang w:eastAsia="lt-LT"/>
                    </w:rPr>
                  </w:pPr>
                  <w:sdt>
                    <w:sdtPr>
                      <w:alias w:val="Numeris"/>
                      <w:tag w:val="nr_2a16006b739947f99218282a0da7ff81"/>
                      <w:lock w:val="sdtLocked"/>
                      <w:richText/>
                    </w:sdtPr>
                    <w:sdtContent>
                      <w:r>
                        <w:rPr>
                          <w:szCs w:val="24"/>
                          <w:lang w:eastAsia="lt-LT"/>
                        </w:rPr>
                        <w:t>66</w:t>
                      </w:r>
                    </w:sdtContent>
                  </w:sdt>
                  <w:r>
                    <w:rPr>
                      <w:szCs w:val="24"/>
                      <w:lang w:eastAsia="lt-LT"/>
                    </w:rPr>
                    <w:t xml:space="preserve">. Informacija apie suteiktą </w:t>
                  </w:r>
                  <w:r>
                    <w:rPr>
                      <w:i/>
                      <w:szCs w:val="24"/>
                      <w:lang w:eastAsia="lt-LT"/>
                    </w:rPr>
                    <w:t xml:space="preserve">de minimis </w:t>
                  </w:r>
                  <w:r>
                    <w:rPr>
                      <w:szCs w:val="24"/>
                      <w:lang w:eastAsia="lt-LT"/>
                    </w:rPr>
                    <w:t xml:space="preserve">pagalbą skelbiama Registre (KOTIS) Lietuvos Respublikos konkurencijos tarybos interneto svetainėje, kurios adresas https://kotis.kt.gov.lt/. </w:t>
                  </w:r>
                </w:p>
              </w:sdtContent>
            </w:sdt>
            <w:sdt>
              <w:sdtPr>
                <w:alias w:val="67 p."/>
                <w:tag w:val="part_aac02ed7a79940b4b995b1c442492d3f"/>
                <w:lock w:val="sdtLocked"/>
                <w:richText/>
              </w:sdtPr>
              <w:sdtContent>
                <w:p>
                  <w:pPr>
                    <w:ind w:firstLine="680"/>
                    <w:jc w:val="both"/>
                    <w:rPr>
                      <w:szCs w:val="24"/>
                    </w:rPr>
                  </w:pPr>
                  <w:sdt>
                    <w:sdtPr>
                      <w:alias w:val="Numeris"/>
                      <w:tag w:val="nr_aac02ed7a79940b4b995b1c442492d3f"/>
                      <w:lock w:val="sdtLocked"/>
                      <w:richText/>
                    </w:sdtPr>
                    <w:sdtContent>
                      <w:r>
                        <w:rPr>
                          <w:szCs w:val="24"/>
                        </w:rPr>
                        <w:t>67</w:t>
                      </w:r>
                    </w:sdtContent>
                  </w:sdt>
                  <w:r>
                    <w:rPr>
                      <w:szCs w:val="24"/>
                    </w:rPr>
                    <w:t xml:space="preserve">. Jei, patikrinus Registrą, paaiškėja, kad mokesčių mokėtojui numatomos suteikti </w:t>
                  </w:r>
                  <w:r>
                    <w:rPr>
                      <w:i/>
                      <w:szCs w:val="24"/>
                    </w:rPr>
                    <w:t>de minimis</w:t>
                  </w:r>
                  <w:r>
                    <w:rPr>
                      <w:szCs w:val="24"/>
                    </w:rPr>
                    <w:t xml:space="preserve"> pagalbos suma ir mokesčio mokėtojo jau gauta </w:t>
                  </w:r>
                  <w:r>
                    <w:rPr>
                      <w:i/>
                      <w:szCs w:val="24"/>
                    </w:rPr>
                    <w:t>de minimis</w:t>
                  </w:r>
                  <w:r>
                    <w:rPr>
                      <w:szCs w:val="24"/>
                    </w:rPr>
                    <w:t xml:space="preserve"> pagalbos suma viršija leistiną ribą, valstybės pagalba pagal šias Taisykles nėra teikiama.</w:t>
                  </w:r>
                </w:p>
              </w:sdtContent>
            </w:sdt>
            <w:sdt>
              <w:sdtPr>
                <w:alias w:val="68 p."/>
                <w:tag w:val="part_3348a2d4c6034add8524d04d493ada07"/>
                <w:lock w:val="sdtLocked"/>
                <w:richText/>
              </w:sdtPr>
              <w:sdtContent>
                <w:p>
                  <w:pPr>
                    <w:ind w:firstLine="680"/>
                    <w:jc w:val="both"/>
                    <w:rPr>
                      <w:szCs w:val="24"/>
                    </w:rPr>
                  </w:pPr>
                  <w:sdt>
                    <w:sdtPr>
                      <w:alias w:val="Numeris"/>
                      <w:tag w:val="nr_3348a2d4c6034add8524d04d493ada07"/>
                      <w:lock w:val="sdtLocked"/>
                      <w:richText/>
                    </w:sdtPr>
                    <w:sdtContent>
                      <w:r>
                        <w:rPr>
                          <w:szCs w:val="24"/>
                        </w:rPr>
                        <w:t>68</w:t>
                      </w:r>
                    </w:sdtContent>
                  </w:sdt>
                  <w:r>
                    <w:rPr>
                      <w:szCs w:val="24"/>
                    </w:rPr>
                    <w:t xml:space="preserve">. </w:t>
                  </w:r>
                  <w:r>
                    <w:rPr>
                      <w:iCs/>
                      <w:szCs w:val="24"/>
                      <w:lang w:val="en-US"/>
                    </w:rPr>
                    <w:t>Paaiškėjus, kad pagal Taisykles buvo suteikta neteisėta ir / arba nesuderinama pagalba, vadovaujantis Lietuvos Respublikos konkurencijos įstatymo 55</w:t>
                  </w:r>
                  <w:r>
                    <w:rPr>
                      <w:iCs/>
                      <w:szCs w:val="24"/>
                      <w:vertAlign w:val="superscript"/>
                      <w:lang w:val="en-US"/>
                    </w:rPr>
                    <w:t>1</w:t>
                  </w:r>
                  <w:r>
                    <w:rPr>
                      <w:iCs/>
                      <w:szCs w:val="24"/>
                      <w:lang w:val="en-US"/>
                    </w:rPr>
                    <w:t xml:space="preserve"> straipsnio nuostatomis, mokes</w:t>
                  </w:r>
                  <w:r>
                    <w:rPr>
                      <w:iCs/>
                      <w:szCs w:val="24"/>
                    </w:rPr>
                    <w:t xml:space="preserve">čių mokėtojas </w:t>
                  </w:r>
                  <w:r>
                    <w:rPr>
                      <w:iCs/>
                      <w:szCs w:val="24"/>
                      <w:lang w:val="en-US"/>
                    </w:rPr>
                    <w:t>privalo jam išmokėtą pagalbos sumą sugrąžinti savanoriškai arba ši suma išieškoma ne ginčo tvarka</w:t>
                  </w:r>
                  <w:r>
                    <w:rPr>
                      <w:szCs w:val="24"/>
                      <w:lang w:val="en-US"/>
                    </w:rPr>
                    <w:t>.</w:t>
                  </w:r>
                </w:p>
              </w:sdtContent>
            </w:sdt>
            <w:sdt>
              <w:sdtPr>
                <w:alias w:val="69 p."/>
                <w:tag w:val="part_94b1d5e84d20472a844c9946c9efed76"/>
                <w:lock w:val="sdtLocked"/>
                <w:richText/>
              </w:sdtPr>
              <w:sdtContent>
                <w:p>
                  <w:pPr>
                    <w:ind w:firstLine="680"/>
                    <w:jc w:val="both"/>
                    <w:rPr>
                      <w:szCs w:val="24"/>
                    </w:rPr>
                  </w:pPr>
                  <w:sdt>
                    <w:sdtPr>
                      <w:alias w:val="Numeris"/>
                      <w:tag w:val="nr_94b1d5e84d20472a844c9946c9efed76"/>
                      <w:lock w:val="sdtLocked"/>
                      <w:richText/>
                    </w:sdtPr>
                    <w:sdtContent>
                      <w:r>
                        <w:rPr>
                          <w:szCs w:val="24"/>
                        </w:rPr>
                        <w:t>69</w:t>
                      </w:r>
                    </w:sdtContent>
                  </w:sdt>
                  <w:r>
                    <w:rPr>
                      <w:szCs w:val="24"/>
                    </w:rPr>
                    <w:t xml:space="preserve">. Duomenis ir dokumentus apie suteiktą </w:t>
                  </w:r>
                  <w:r>
                    <w:rPr>
                      <w:i/>
                      <w:szCs w:val="24"/>
                    </w:rPr>
                    <w:t>de minimis</w:t>
                  </w:r>
                  <w:r>
                    <w:rPr>
                      <w:szCs w:val="24"/>
                    </w:rPr>
                    <w:t xml:space="preserve"> pagalbą </w:t>
                  </w:r>
                  <w:r>
                    <w:rPr>
                      <w:rFonts w:eastAsia="Calibri"/>
                      <w:szCs w:val="24"/>
                      <w:lang w:eastAsia="lt-LT"/>
                    </w:rPr>
                    <w:t>VMI prie FM</w:t>
                  </w:r>
                  <w:r>
                    <w:rPr>
                      <w:szCs w:val="24"/>
                    </w:rPr>
                    <w:t xml:space="preserve"> saugo 10 metų nuo paskutinės pagalbos pagal šias Taisykles suteikimo datos.</w:t>
                  </w:r>
                </w:p>
                <w:p>
                  <w:pPr>
                    <w:jc w:val="center"/>
                    <w:rPr>
                      <w:b/>
                      <w:szCs w:val="24"/>
                    </w:rPr>
                  </w:pPr>
                </w:p>
              </w:sdtContent>
            </w:sdt>
          </w:sdtContent>
        </w:sdt>
        <w:sdt>
          <w:sdtPr>
            <w:alias w:val="skyrius"/>
            <w:tag w:val="part_e5614730ba5c45f7b6ff72a4072d7ac8"/>
            <w:lock w:val="sdtLocked"/>
            <w:richText/>
          </w:sdtPr>
          <w:sdtContent>
            <w:p>
              <w:pPr>
                <w:jc w:val="center"/>
                <w:rPr>
                  <w:b/>
                  <w:szCs w:val="24"/>
                </w:rPr>
              </w:pPr>
              <w:sdt>
                <w:sdtPr>
                  <w:alias w:val="Numeris"/>
                  <w:tag w:val="nr_e5614730ba5c45f7b6ff72a4072d7ac8"/>
                  <w:lock w:val="sdtLocked"/>
                  <w:richText/>
                </w:sdtPr>
                <w:sdtContent>
                  <w:r>
                    <w:rPr>
                      <w:b/>
                      <w:szCs w:val="24"/>
                    </w:rPr>
                    <w:t>VIII</w:t>
                  </w:r>
                </w:sdtContent>
              </w:sdt>
              <w:r>
                <w:rPr>
                  <w:b/>
                  <w:szCs w:val="24"/>
                </w:rPr>
                <w:t xml:space="preserve"> SKYRIUS</w:t>
              </w:r>
            </w:p>
            <w:p>
              <w:pPr>
                <w:jc w:val="center"/>
                <w:rPr>
                  <w:b/>
                  <w:szCs w:val="24"/>
                </w:rPr>
              </w:pPr>
              <w:sdt>
                <w:sdtPr>
                  <w:alias w:val="Pavadinimas"/>
                  <w:tag w:val="title_e5614730ba5c45f7b6ff72a4072d7ac8"/>
                  <w:lock w:val="sdtLocked"/>
                  <w:richText/>
                </w:sdtPr>
                <w:sdtContent>
                  <w:r>
                    <w:rPr>
                      <w:b/>
                      <w:szCs w:val="24"/>
                    </w:rPr>
                    <w:t>BAIGIAMOSIOS NUOSTATOS</w:t>
                  </w:r>
                </w:sdtContent>
              </w:sdt>
            </w:p>
            <w:p>
              <w:pPr>
                <w:ind w:firstLine="680"/>
                <w:jc w:val="center"/>
                <w:rPr>
                  <w:szCs w:val="24"/>
                </w:rPr>
              </w:pPr>
            </w:p>
            <w:sdt>
              <w:sdtPr>
                <w:alias w:val="70 p."/>
                <w:tag w:val="part_9ed3163dfc1b4095beff25c1f8884b8d"/>
                <w:lock w:val="sdtLocked"/>
                <w:richText/>
              </w:sdtPr>
              <w:sdtContent>
                <w:p>
                  <w:pPr>
                    <w:ind w:firstLine="680"/>
                    <w:jc w:val="both"/>
                    <w:rPr>
                      <w:szCs w:val="24"/>
                      <w:lang w:eastAsia="lt-LT"/>
                    </w:rPr>
                  </w:pPr>
                  <w:sdt>
                    <w:sdtPr>
                      <w:alias w:val="Numeris"/>
                      <w:tag w:val="nr_9ed3163dfc1b4095beff25c1f8884b8d"/>
                      <w:lock w:val="sdtLocked"/>
                      <w:richText/>
                    </w:sdtPr>
                    <w:sdtContent>
                      <w:r>
                        <w:rPr>
                          <w:szCs w:val="24"/>
                          <w:lang w:val="en-US" w:eastAsia="lt-LT"/>
                        </w:rPr>
                        <w:t>70</w:t>
                      </w:r>
                    </w:sdtContent>
                  </w:sdt>
                  <w:r>
                    <w:rPr>
                      <w:szCs w:val="24"/>
                      <w:lang w:eastAsia="lt-LT"/>
                    </w:rPr>
                    <w:t>.</w:t>
                    <w:tab/>
                    <w:t>Ginčai dėl mokestinės nepriemokos ar baudos už administracinį nusižengimą mokėjimo atidėjimo ir (ar) išdėstymo sprendžiami Lietuvos Respublikos įstatymų nustatyta tvarka.</w:t>
                  </w:r>
                </w:p>
              </w:sdtContent>
            </w:sdt>
            <w:sdt>
              <w:sdtPr>
                <w:alias w:val="71 p."/>
                <w:tag w:val="part_9e89ab0ad93146b99802fd77bad5b429"/>
                <w:lock w:val="sdtLocked"/>
                <w:richText/>
              </w:sdtPr>
              <w:sdtContent>
                <w:p>
                  <w:pPr>
                    <w:ind w:firstLine="680"/>
                    <w:jc w:val="both"/>
                    <w:rPr>
                      <w:rFonts w:eastAsia="Calibri"/>
                      <w:szCs w:val="24"/>
                    </w:rPr>
                  </w:pPr>
                  <w:sdt>
                    <w:sdtPr>
                      <w:alias w:val="Numeris"/>
                      <w:tag w:val="nr_9e89ab0ad93146b99802fd77bad5b429"/>
                      <w:lock w:val="sdtLocked"/>
                      <w:richText/>
                    </w:sdtPr>
                    <w:sdtContent>
                      <w:r>
                        <w:rPr>
                          <w:szCs w:val="24"/>
                          <w:lang w:eastAsia="lt-LT"/>
                        </w:rPr>
                        <w:t>71</w:t>
                      </w:r>
                    </w:sdtContent>
                  </w:sdt>
                  <w:r>
                    <w:rPr>
                      <w:szCs w:val="24"/>
                      <w:lang w:eastAsia="lt-LT"/>
                    </w:rPr>
                    <w:t>.</w:t>
                    <w:tab/>
                  </w:r>
                  <w:r>
                    <w:rPr>
                      <w:rFonts w:eastAsia="Calibri"/>
                      <w:szCs w:val="24"/>
                    </w:rPr>
                    <w:t>Už Taisyklėse nustatytų reikalavimų nevykdymą ar netinkamą jų vykdymą atsakoma Lietuvos Respublikos teisės aktų nustatyta tvarka.</w:t>
                  </w:r>
                </w:p>
              </w:sdtContent>
            </w:sdt>
            <w:sdt>
              <w:sdtPr>
                <w:alias w:val="72 p."/>
                <w:tag w:val="part_1997ce71686b4762b9641bc2694d4d27"/>
                <w:lock w:val="sdtLocked"/>
                <w:richText/>
              </w:sdtPr>
              <w:sdtContent>
                <w:p>
                  <w:pPr>
                    <w:ind w:firstLine="680"/>
                    <w:jc w:val="both"/>
                    <w:rPr>
                      <w:color w:val="FF0000"/>
                      <w:szCs w:val="24"/>
                      <w:lang w:eastAsia="lt-LT"/>
                    </w:rPr>
                  </w:pPr>
                  <w:sdt>
                    <w:sdtPr>
                      <w:alias w:val="Numeris"/>
                      <w:tag w:val="nr_1997ce71686b4762b9641bc2694d4d27"/>
                      <w:lock w:val="sdtLocked"/>
                      <w:richText/>
                    </w:sdtPr>
                    <w:sdtContent>
                      <w:r>
                        <w:rPr>
                          <w:szCs w:val="24"/>
                          <w:lang w:eastAsia="lt-LT"/>
                        </w:rPr>
                        <w:t>72</w:t>
                      </w:r>
                    </w:sdtContent>
                  </w:sdt>
                  <w:r>
                    <w:rPr>
                      <w:szCs w:val="24"/>
                      <w:lang w:eastAsia="lt-LT"/>
                    </w:rPr>
                    <w:t>.</w:t>
                    <w:tab/>
                    <w:t xml:space="preserve">Priimant mokesčių administratoriaus sprendimus dėl mokėtojų mokestinės nepriemokos ar baudos už administracinį nusižengimą mokėjimo atidėjimo ir (ar) išdėstymo tikslu atlikti mokėtojų finansinės būklės vertinimą, asmens duomenys tvarkomi, vadovaujantis </w:t>
                  </w:r>
                  <w:r>
                    <w:rPr>
                      <w:bCs/>
                      <w:szCs w:val="24"/>
                      <w:shd w:val="clear" w:color="auto" w:fill="FFFFFF"/>
                    </w:rPr>
                    <w:t>2016 m. balandžio 27 d. Europos Parlamento ir Tarybos reglamentu (ES) 2016/679 dėl fizinių asmenų apsaugos tvarkant asmens duomenis ir dėl laisvo tokių duomenų judėjimo ir kuriuo panaikinama Direktyva 95/46/EB.</w:t>
                  </w:r>
                </w:p>
              </w:sdtContent>
            </w:sdt>
          </w:sdtContent>
        </w:sdt>
        <w:sdt>
          <w:sdtPr>
            <w:alias w:val="pabaiga"/>
            <w:tag w:val="part_27307d3bd70b46eab876bcc88a6f3345"/>
            <w:lock w:val="sdtLocked"/>
            <w:richText/>
          </w:sdtPr>
          <w:sdtContent>
            <w:p>
              <w:pPr>
                <w:ind w:firstLine="680"/>
                <w:jc w:val="center"/>
                <w:rPr>
                  <w:szCs w:val="24"/>
                  <w:lang w:eastAsia="lt-LT"/>
                </w:rPr>
              </w:pPr>
              <w:r>
                <w:rPr>
                  <w:szCs w:val="24"/>
                  <w:lang w:eastAsia="lt-LT"/>
                </w:rPr>
                <w:t>______________</w:t>
              </w:r>
            </w:p>
          </w:sdtContent>
        </w:sdt>
      </w:sdtContent>
    </w:sdt>
    <w:sdt>
      <w:sdtPr>
        <w:alias w:val="1 pr."/>
        <w:tag w:val="part_8f081342bf854bdda6d8227152a8ed51"/>
        <w:lock w:val="sdtLocked"/>
        <w:richText/>
      </w:sdtPr>
      <w:sdtContent>
        <w:p>
          <w:pPr>
            <w:ind w:firstLine="680"/>
          </w:pPr>
        </w:p>
        <w:p>
          <w:pPr>
            <w:ind w:firstLine="680"/>
            <w:jc w:val="center"/>
            <w:sectPr>
              <w:pgSz w:w="11907" w:h="16839"/>
              <w:pgMar w:top="1134" w:right="567" w:bottom="1134" w:left="1701" w:header="567" w:footer="567" w:gutter="0"/>
              <w:pgNumType w:start="1"/>
              <w:cols w:space="1296"/>
              <w:titlePg/>
              <w:docGrid w:linePitch="360"/>
            </w:sectPr>
          </w:pPr>
        </w:p>
        <w:tbl>
          <w:tblPr>
            <w:tblW w:w="15026" w:type="dxa"/>
            <w:tblLayout w:type="fixed"/>
            <w:tblLook w:val="04A0" w:firstRow="1" w:lastRow="0" w:firstColumn="1" w:lastColumn="0" w:noHBand="0" w:noVBand="1"/>
          </w:tblPr>
          <w:tblGrid>
            <w:gridCol w:w="562"/>
            <w:gridCol w:w="3111"/>
            <w:gridCol w:w="1714"/>
            <w:gridCol w:w="1417"/>
            <w:gridCol w:w="1418"/>
            <w:gridCol w:w="1417"/>
            <w:gridCol w:w="1418"/>
            <w:gridCol w:w="1276"/>
            <w:gridCol w:w="1417"/>
            <w:gridCol w:w="1276"/>
          </w:tblGrid>
          <w:tr>
            <w:trPr>
              <w:trHeight w:val="700"/>
            </w:trPr>
            <w:tc>
              <w:tcPr>
                <w:tcW w:w="562" w:type="dxa"/>
                <w:tcBorders>
                  <w:top w:val="nil"/>
                  <w:left w:val="nil"/>
                  <w:bottom w:val="nil"/>
                  <w:right w:val="nil"/>
                </w:tcBorders>
                <w:shd w:val="clear" w:color="auto" w:fill="auto"/>
                <w:noWrap/>
                <w:vAlign w:val="bottom"/>
                <w:hideMark/>
              </w:tcPr>
              <w:p>
                <w:pPr>
                  <w:tabs>
                    <w:tab w:val="center" w:pos="4680"/>
                    <w:tab w:val="right" w:pos="9360"/>
                  </w:tabs>
                  <w:rPr>
                    <w:sz w:val="22"/>
                    <w:szCs w:val="22"/>
                    <w:lang w:eastAsia="lt-LT"/>
                  </w:rPr>
                </w:pPr>
              </w:p>
              <w:p>
                <w:pPr>
                  <w:rPr>
                    <w:szCs w:val="24"/>
                    <w:lang w:eastAsia="lt-LT"/>
                  </w:rPr>
                </w:pPr>
              </w:p>
            </w:tc>
            <w:tc>
              <w:tcPr>
                <w:tcW w:w="3111" w:type="dxa"/>
                <w:tcBorders>
                  <w:top w:val="nil"/>
                  <w:left w:val="nil"/>
                  <w:bottom w:val="nil"/>
                  <w:right w:val="nil"/>
                </w:tcBorders>
                <w:shd w:val="clear" w:color="auto" w:fill="auto"/>
                <w:noWrap/>
                <w:vAlign w:val="bottom"/>
                <w:hideMark/>
              </w:tcPr>
              <w:p>
                <w:pPr>
                  <w:rPr>
                    <w:sz w:val="20"/>
                    <w:lang w:eastAsia="lt-LT"/>
                  </w:rPr>
                </w:pPr>
              </w:p>
            </w:tc>
            <w:tc>
              <w:tcPr>
                <w:tcW w:w="171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3969" w:type="dxa"/>
                <w:gridSpan w:val="3"/>
                <w:tcBorders>
                  <w:top w:val="nil"/>
                  <w:left w:val="nil"/>
                  <w:bottom w:val="nil"/>
                  <w:right w:val="nil"/>
                </w:tcBorders>
                <w:shd w:val="clear" w:color="auto" w:fill="auto"/>
                <w:noWrap/>
                <w:vAlign w:val="bottom"/>
              </w:tcPr>
              <w:p>
                <w:pPr>
                  <w:jc w:val="both"/>
                  <w:rPr>
                    <w:color w:val="000000"/>
                    <w:szCs w:val="24"/>
                    <w:lang w:eastAsia="lt-LT"/>
                  </w:rPr>
                </w:pPr>
                <w:r>
                  <w:rPr>
                    <w:color w:val="000000"/>
                    <w:szCs w:val="24"/>
                    <w:lang w:eastAsia="lt-LT"/>
                  </w:rPr>
                  <w:t xml:space="preserve">Mokestinės nepriemokos ar baudos už administracinį nusižengimą mokėjimo atidėjimo ir (ar) išdėstymo taisyklių </w:t>
                </w:r>
              </w:p>
              <w:p>
                <w:pPr>
                  <w:jc w:val="both"/>
                  <w:rPr>
                    <w:color w:val="000000"/>
                    <w:sz w:val="22"/>
                    <w:szCs w:val="22"/>
                    <w:lang w:val="en-US" w:eastAsia="lt-LT"/>
                  </w:rPr>
                </w:pPr>
                <w:r>
                  <w:rPr>
                    <w:color w:val="000000"/>
                    <w:szCs w:val="24"/>
                    <w:lang w:eastAsia="lt-LT"/>
                  </w:rPr>
                  <w:t>1 priedas</w:t>
                </w:r>
              </w:p>
            </w:tc>
          </w:tr>
          <w:tr>
            <w:trPr>
              <w:trHeight w:val="601"/>
            </w:trPr>
            <w:tc>
              <w:tcPr>
                <w:tcW w:w="562" w:type="dxa"/>
                <w:tcBorders>
                  <w:top w:val="nil"/>
                  <w:left w:val="nil"/>
                  <w:bottom w:val="nil"/>
                  <w:right w:val="nil"/>
                </w:tcBorders>
                <w:shd w:val="clear" w:color="auto" w:fill="auto"/>
                <w:noWrap/>
                <w:vAlign w:val="bottom"/>
                <w:hideMark/>
              </w:tcPr>
              <w:p>
                <w:pPr>
                  <w:rPr>
                    <w:color w:val="000000"/>
                    <w:sz w:val="22"/>
                    <w:szCs w:val="22"/>
                    <w:lang w:eastAsia="lt-LT"/>
                  </w:rPr>
                </w:pPr>
              </w:p>
            </w:tc>
            <w:tc>
              <w:tcPr>
                <w:tcW w:w="14464" w:type="dxa"/>
                <w:gridSpan w:val="9"/>
                <w:tcBorders>
                  <w:top w:val="nil"/>
                  <w:left w:val="nil"/>
                  <w:bottom w:val="nil"/>
                </w:tcBorders>
                <w:shd w:val="clear" w:color="auto" w:fill="auto"/>
                <w:noWrap/>
                <w:vAlign w:val="bottom"/>
                <w:hideMark/>
              </w:tcPr>
              <w:p>
                <w:pPr>
                  <w:jc w:val="center"/>
                  <w:rPr>
                    <w:sz w:val="20"/>
                    <w:lang w:eastAsia="lt-LT"/>
                  </w:rPr>
                </w:pPr>
              </w:p>
              <w:p>
                <w:pPr>
                  <w:jc w:val="center"/>
                  <w:rPr>
                    <w:b/>
                  </w:rPr>
                </w:pPr>
                <w:r>
                  <w:rPr>
                    <w:b/>
                  </w:rPr>
                  <w:t>(Kreditorių sąrašo (skolos tiekėjams ir kitiems kreditoriams) formos pavyzdys)</w:t>
                </w:r>
              </w:p>
              <w:p>
                <w:pPr>
                  <w:rPr>
                    <w:sz w:val="20"/>
                    <w:lang w:eastAsia="lt-LT"/>
                  </w:rPr>
                </w:pPr>
              </w:p>
            </w:tc>
          </w:tr>
          <w:tr>
            <w:trPr>
              <w:trHeight w:val="315"/>
            </w:trPr>
            <w:tc>
              <w:tcPr>
                <w:tcW w:w="562" w:type="dxa"/>
                <w:tcBorders>
                  <w:top w:val="nil"/>
                  <w:left w:val="nil"/>
                  <w:bottom w:val="nil"/>
                  <w:right w:val="nil"/>
                </w:tcBorders>
                <w:shd w:val="clear" w:color="auto" w:fill="auto"/>
                <w:noWrap/>
                <w:vAlign w:val="bottom"/>
                <w:hideMark/>
              </w:tcPr>
              <w:p>
                <w:pPr>
                  <w:rPr>
                    <w:sz w:val="20"/>
                    <w:lang w:eastAsia="lt-LT"/>
                  </w:rPr>
                </w:pPr>
              </w:p>
            </w:tc>
            <w:tc>
              <w:tcPr>
                <w:tcW w:w="7660" w:type="dxa"/>
                <w:gridSpan w:val="4"/>
                <w:tcBorders>
                  <w:top w:val="nil"/>
                  <w:left w:val="nil"/>
                  <w:bottom w:val="nil"/>
                  <w:right w:val="nil"/>
                </w:tcBorders>
                <w:shd w:val="clear" w:color="auto" w:fill="auto"/>
                <w:noWrap/>
                <w:vAlign w:val="bottom"/>
                <w:hideMark/>
              </w:tcPr>
              <w:p>
                <w:pPr>
                  <w:rPr>
                    <w:color w:val="000000"/>
                    <w:szCs w:val="24"/>
                    <w:lang w:eastAsia="lt-LT"/>
                  </w:rPr>
                </w:pPr>
                <w:r>
                  <w:rPr>
                    <w:color w:val="000000"/>
                    <w:szCs w:val="24"/>
                    <w:lang w:eastAsia="lt-LT"/>
                  </w:rPr>
                  <w:t>______________________________</w:t>
                </w:r>
              </w:p>
            </w:tc>
            <w:tc>
              <w:tcPr>
                <w:tcW w:w="1417" w:type="dxa"/>
                <w:tcBorders>
                  <w:top w:val="nil"/>
                  <w:left w:val="nil"/>
                  <w:bottom w:val="nil"/>
                  <w:right w:val="nil"/>
                </w:tcBorders>
                <w:shd w:val="clear" w:color="auto" w:fill="auto"/>
                <w:noWrap/>
                <w:vAlign w:val="bottom"/>
                <w:hideMark/>
              </w:tcPr>
              <w:p>
                <w:pPr>
                  <w:rPr>
                    <w:color w:val="000000"/>
                    <w:szCs w:val="24"/>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r>
          <w:tr>
            <w:trPr>
              <w:trHeight w:val="315"/>
            </w:trPr>
            <w:tc>
              <w:tcPr>
                <w:tcW w:w="562" w:type="dxa"/>
                <w:tcBorders>
                  <w:top w:val="nil"/>
                  <w:left w:val="nil"/>
                  <w:bottom w:val="nil"/>
                  <w:right w:val="nil"/>
                </w:tcBorders>
                <w:shd w:val="clear" w:color="auto" w:fill="auto"/>
                <w:noWrap/>
                <w:vAlign w:val="bottom"/>
                <w:hideMark/>
              </w:tcPr>
              <w:p>
                <w:pPr>
                  <w:rPr>
                    <w:sz w:val="20"/>
                    <w:lang w:eastAsia="lt-LT"/>
                  </w:rPr>
                </w:pPr>
              </w:p>
            </w:tc>
            <w:tc>
              <w:tcPr>
                <w:tcW w:w="6242" w:type="dxa"/>
                <w:gridSpan w:val="3"/>
                <w:tcBorders>
                  <w:top w:val="nil"/>
                  <w:left w:val="nil"/>
                  <w:bottom w:val="nil"/>
                  <w:right w:val="nil"/>
                </w:tcBorders>
                <w:shd w:val="clear" w:color="auto" w:fill="auto"/>
                <w:noWrap/>
                <w:vAlign w:val="bottom"/>
                <w:hideMark/>
              </w:tcPr>
              <w:p>
                <w:pPr>
                  <w:ind w:firstLine="38"/>
                  <w:rPr>
                    <w:sz w:val="20"/>
                    <w:lang w:eastAsia="lt-LT"/>
                  </w:rPr>
                </w:pPr>
                <w:r>
                  <w:rPr>
                    <w:color w:val="000000"/>
                    <w:sz w:val="16"/>
                  </w:rPr>
                  <w:t>(mokesčių mokėtojo pavadinimas arba vardas, pavardė)</w:t>
                </w:r>
              </w:p>
            </w:tc>
            <w:tc>
              <w:tcPr>
                <w:tcW w:w="1418"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r>
          <w:tr>
            <w:trPr>
              <w:trHeight w:val="315"/>
            </w:trPr>
            <w:tc>
              <w:tcPr>
                <w:tcW w:w="562" w:type="dxa"/>
                <w:tcBorders>
                  <w:top w:val="nil"/>
                  <w:left w:val="nil"/>
                  <w:bottom w:val="nil"/>
                  <w:right w:val="nil"/>
                </w:tcBorders>
                <w:shd w:val="clear" w:color="auto" w:fill="auto"/>
                <w:noWrap/>
                <w:vAlign w:val="bottom"/>
                <w:hideMark/>
              </w:tcPr>
              <w:p>
                <w:pPr>
                  <w:rPr>
                    <w:sz w:val="18"/>
                    <w:lang w:eastAsia="lt-LT"/>
                  </w:rPr>
                </w:pPr>
              </w:p>
            </w:tc>
            <w:tc>
              <w:tcPr>
                <w:tcW w:w="3111" w:type="dxa"/>
                <w:tcBorders>
                  <w:top w:val="nil"/>
                  <w:left w:val="nil"/>
                  <w:bottom w:val="nil"/>
                  <w:right w:val="nil"/>
                </w:tcBorders>
                <w:shd w:val="clear" w:color="auto" w:fill="auto"/>
                <w:noWrap/>
                <w:vAlign w:val="bottom"/>
                <w:hideMark/>
              </w:tcPr>
              <w:p>
                <w:pPr>
                  <w:rPr>
                    <w:sz w:val="18"/>
                    <w:lang w:eastAsia="lt-LT"/>
                  </w:rPr>
                </w:pPr>
              </w:p>
            </w:tc>
            <w:tc>
              <w:tcPr>
                <w:tcW w:w="1714" w:type="dxa"/>
                <w:tcBorders>
                  <w:top w:val="nil"/>
                  <w:left w:val="nil"/>
                  <w:bottom w:val="nil"/>
                  <w:right w:val="nil"/>
                </w:tcBorders>
                <w:shd w:val="clear" w:color="auto" w:fill="auto"/>
                <w:noWrap/>
                <w:vAlign w:val="bottom"/>
                <w:hideMark/>
              </w:tcPr>
              <w:p>
                <w:pPr>
                  <w:rPr>
                    <w:sz w:val="18"/>
                    <w:lang w:eastAsia="lt-LT"/>
                  </w:rPr>
                </w:pPr>
              </w:p>
            </w:tc>
            <w:tc>
              <w:tcPr>
                <w:tcW w:w="1417" w:type="dxa"/>
                <w:tcBorders>
                  <w:top w:val="nil"/>
                  <w:left w:val="nil"/>
                  <w:bottom w:val="nil"/>
                  <w:right w:val="nil"/>
                </w:tcBorders>
                <w:shd w:val="clear" w:color="auto" w:fill="auto"/>
                <w:noWrap/>
                <w:vAlign w:val="bottom"/>
                <w:hideMark/>
              </w:tcPr>
              <w:p>
                <w:pPr>
                  <w:rPr>
                    <w:sz w:val="18"/>
                    <w:lang w:eastAsia="lt-LT"/>
                  </w:rPr>
                </w:pPr>
              </w:p>
            </w:tc>
            <w:tc>
              <w:tcPr>
                <w:tcW w:w="1418" w:type="dxa"/>
                <w:tcBorders>
                  <w:top w:val="nil"/>
                  <w:left w:val="nil"/>
                  <w:bottom w:val="nil"/>
                  <w:right w:val="nil"/>
                </w:tcBorders>
                <w:shd w:val="clear" w:color="auto" w:fill="auto"/>
                <w:noWrap/>
                <w:vAlign w:val="bottom"/>
                <w:hideMark/>
              </w:tcPr>
              <w:p>
                <w:pPr>
                  <w:rPr>
                    <w:sz w:val="18"/>
                    <w:lang w:eastAsia="lt-LT"/>
                  </w:rPr>
                </w:pPr>
              </w:p>
            </w:tc>
            <w:tc>
              <w:tcPr>
                <w:tcW w:w="1417" w:type="dxa"/>
                <w:tcBorders>
                  <w:top w:val="nil"/>
                  <w:left w:val="nil"/>
                  <w:bottom w:val="nil"/>
                  <w:right w:val="nil"/>
                </w:tcBorders>
                <w:shd w:val="clear" w:color="auto" w:fill="auto"/>
                <w:noWrap/>
                <w:vAlign w:val="bottom"/>
                <w:hideMark/>
              </w:tcPr>
              <w:p>
                <w:pPr>
                  <w:rPr>
                    <w:sz w:val="18"/>
                    <w:lang w:eastAsia="lt-LT"/>
                  </w:rPr>
                </w:pPr>
              </w:p>
            </w:tc>
            <w:tc>
              <w:tcPr>
                <w:tcW w:w="1418" w:type="dxa"/>
                <w:tcBorders>
                  <w:top w:val="nil"/>
                  <w:left w:val="nil"/>
                  <w:bottom w:val="nil"/>
                  <w:right w:val="nil"/>
                </w:tcBorders>
                <w:shd w:val="clear" w:color="auto" w:fill="auto"/>
                <w:noWrap/>
                <w:vAlign w:val="bottom"/>
                <w:hideMark/>
              </w:tcPr>
              <w:p>
                <w:pPr>
                  <w:rPr>
                    <w:sz w:val="18"/>
                    <w:lang w:eastAsia="lt-LT"/>
                  </w:rPr>
                </w:pPr>
              </w:p>
            </w:tc>
            <w:tc>
              <w:tcPr>
                <w:tcW w:w="1276" w:type="dxa"/>
                <w:tcBorders>
                  <w:top w:val="nil"/>
                  <w:left w:val="nil"/>
                  <w:bottom w:val="nil"/>
                  <w:right w:val="nil"/>
                </w:tcBorders>
                <w:shd w:val="clear" w:color="auto" w:fill="auto"/>
                <w:noWrap/>
                <w:vAlign w:val="bottom"/>
                <w:hideMark/>
              </w:tcPr>
              <w:p>
                <w:pPr>
                  <w:rPr>
                    <w:sz w:val="18"/>
                    <w:lang w:eastAsia="lt-LT"/>
                  </w:rPr>
                </w:pPr>
              </w:p>
            </w:tc>
            <w:tc>
              <w:tcPr>
                <w:tcW w:w="1417" w:type="dxa"/>
                <w:tcBorders>
                  <w:top w:val="nil"/>
                  <w:left w:val="nil"/>
                  <w:bottom w:val="nil"/>
                  <w:right w:val="nil"/>
                </w:tcBorders>
                <w:shd w:val="clear" w:color="auto" w:fill="auto"/>
                <w:noWrap/>
                <w:vAlign w:val="bottom"/>
                <w:hideMark/>
              </w:tcPr>
              <w:p>
                <w:pPr>
                  <w:rPr>
                    <w:sz w:val="18"/>
                    <w:lang w:eastAsia="lt-LT"/>
                  </w:rPr>
                </w:pPr>
              </w:p>
            </w:tc>
            <w:tc>
              <w:tcPr>
                <w:tcW w:w="1276" w:type="dxa"/>
                <w:tcBorders>
                  <w:top w:val="nil"/>
                  <w:left w:val="nil"/>
                  <w:bottom w:val="nil"/>
                  <w:right w:val="nil"/>
                </w:tcBorders>
                <w:shd w:val="clear" w:color="auto" w:fill="auto"/>
                <w:noWrap/>
                <w:vAlign w:val="bottom"/>
                <w:hideMark/>
              </w:tcPr>
              <w:p>
                <w:pPr>
                  <w:rPr>
                    <w:sz w:val="18"/>
                    <w:lang w:eastAsia="lt-LT"/>
                  </w:rPr>
                </w:pPr>
              </w:p>
            </w:tc>
          </w:tr>
          <w:tr>
            <w:trPr>
              <w:trHeight w:val="420"/>
            </w:trPr>
            <w:tc>
              <w:tcPr>
                <w:tcW w:w="562" w:type="dxa"/>
                <w:tcBorders>
                  <w:top w:val="nil"/>
                  <w:left w:val="nil"/>
                  <w:bottom w:val="nil"/>
                  <w:right w:val="nil"/>
                </w:tcBorders>
                <w:shd w:val="clear" w:color="auto" w:fill="auto"/>
                <w:noWrap/>
                <w:vAlign w:val="bottom"/>
                <w:hideMark/>
              </w:tcPr>
              <w:p>
                <w:pPr>
                  <w:rPr>
                    <w:sz w:val="20"/>
                    <w:lang w:eastAsia="lt-LT"/>
                  </w:rPr>
                </w:pPr>
              </w:p>
            </w:tc>
            <w:tc>
              <w:tcPr>
                <w:tcW w:w="14464" w:type="dxa"/>
                <w:gridSpan w:val="9"/>
                <w:tcBorders>
                  <w:top w:val="nil"/>
                  <w:left w:val="nil"/>
                  <w:bottom w:val="nil"/>
                  <w:right w:val="nil"/>
                </w:tcBorders>
                <w:shd w:val="clear" w:color="auto" w:fill="auto"/>
                <w:noWrap/>
                <w:vAlign w:val="bottom"/>
                <w:hideMark/>
              </w:tcPr>
              <w:p>
                <w:pPr>
                  <w:jc w:val="center"/>
                  <w:rPr>
                    <w:b/>
                    <w:bCs/>
                    <w:color w:val="000000"/>
                    <w:szCs w:val="24"/>
                    <w:lang w:eastAsia="lt-LT"/>
                  </w:rPr>
                </w:pPr>
                <w:r>
                  <w:rPr>
                    <w:b/>
                    <w:bCs/>
                    <w:color w:val="000000"/>
                    <w:szCs w:val="24"/>
                    <w:lang w:eastAsia="lt-LT"/>
                  </w:rPr>
                  <w:t xml:space="preserve">KREDITORIŲ SĄRAŠAS (SKOLOS TIEKĖJAMS IR KITIEMS KREDITORIAMS) </w:t>
                </w:r>
              </w:p>
            </w:tc>
          </w:tr>
          <w:tr>
            <w:trPr>
              <w:trHeight w:val="420"/>
            </w:trPr>
            <w:tc>
              <w:tcPr>
                <w:tcW w:w="562" w:type="dxa"/>
                <w:tcBorders>
                  <w:top w:val="nil"/>
                  <w:left w:val="nil"/>
                  <w:bottom w:val="nil"/>
                  <w:right w:val="nil"/>
                </w:tcBorders>
                <w:shd w:val="clear" w:color="auto" w:fill="auto"/>
                <w:noWrap/>
                <w:vAlign w:val="bottom"/>
                <w:hideMark/>
              </w:tcPr>
              <w:p>
                <w:pPr>
                  <w:jc w:val="center"/>
                  <w:rPr>
                    <w:b/>
                    <w:bCs/>
                    <w:color w:val="000000"/>
                    <w:sz w:val="28"/>
                    <w:szCs w:val="28"/>
                    <w:lang w:eastAsia="lt-LT"/>
                  </w:rPr>
                </w:pPr>
              </w:p>
            </w:tc>
            <w:tc>
              <w:tcPr>
                <w:tcW w:w="3111" w:type="dxa"/>
                <w:tcBorders>
                  <w:top w:val="nil"/>
                  <w:left w:val="nil"/>
                  <w:bottom w:val="nil"/>
                  <w:right w:val="nil"/>
                </w:tcBorders>
                <w:shd w:val="clear" w:color="auto" w:fill="auto"/>
                <w:noWrap/>
                <w:vAlign w:val="bottom"/>
                <w:hideMark/>
              </w:tcPr>
              <w:p>
                <w:pPr>
                  <w:rPr>
                    <w:sz w:val="20"/>
                    <w:lang w:eastAsia="lt-LT"/>
                  </w:rPr>
                </w:pPr>
              </w:p>
            </w:tc>
            <w:tc>
              <w:tcPr>
                <w:tcW w:w="1714" w:type="dxa"/>
                <w:tcBorders>
                  <w:top w:val="nil"/>
                  <w:left w:val="nil"/>
                  <w:bottom w:val="nil"/>
                  <w:right w:val="nil"/>
                </w:tcBorders>
                <w:shd w:val="clear" w:color="auto" w:fill="auto"/>
                <w:noWrap/>
                <w:vAlign w:val="bottom"/>
                <w:hideMark/>
              </w:tcPr>
              <w:p>
                <w:pPr>
                  <w:jc w:val="center"/>
                  <w:rPr>
                    <w:sz w:val="20"/>
                    <w:lang w:eastAsia="lt-LT"/>
                  </w:rPr>
                </w:pPr>
              </w:p>
            </w:tc>
            <w:tc>
              <w:tcPr>
                <w:tcW w:w="5670" w:type="dxa"/>
                <w:gridSpan w:val="4"/>
                <w:tcBorders>
                  <w:top w:val="nil"/>
                  <w:left w:val="nil"/>
                  <w:bottom w:val="nil"/>
                  <w:right w:val="nil"/>
                </w:tcBorders>
                <w:shd w:val="clear" w:color="auto" w:fill="auto"/>
                <w:noWrap/>
                <w:vAlign w:val="bottom"/>
                <w:hideMark/>
              </w:tcPr>
              <w:p>
                <w:pPr>
                  <w:rPr>
                    <w:color w:val="000000"/>
                    <w:sz w:val="28"/>
                    <w:szCs w:val="28"/>
                    <w:lang w:eastAsia="lt-LT"/>
                  </w:rPr>
                </w:pPr>
                <w:r>
                  <w:rPr>
                    <w:color w:val="000000"/>
                    <w:sz w:val="28"/>
                    <w:szCs w:val="28"/>
                    <w:lang w:eastAsia="lt-LT"/>
                  </w:rPr>
                  <w:t>__________________________________</w:t>
                </w:r>
              </w:p>
            </w:tc>
            <w:tc>
              <w:tcPr>
                <w:tcW w:w="1276" w:type="dxa"/>
                <w:tcBorders>
                  <w:top w:val="nil"/>
                  <w:left w:val="nil"/>
                  <w:bottom w:val="nil"/>
                  <w:right w:val="nil"/>
                </w:tcBorders>
                <w:shd w:val="clear" w:color="auto" w:fill="auto"/>
                <w:noWrap/>
                <w:vAlign w:val="bottom"/>
                <w:hideMark/>
              </w:tcPr>
              <w:p>
                <w:pPr>
                  <w:rPr>
                    <w:color w:val="000000"/>
                    <w:sz w:val="28"/>
                    <w:szCs w:val="28"/>
                    <w:lang w:eastAsia="lt-LT"/>
                  </w:rPr>
                </w:pPr>
              </w:p>
            </w:tc>
            <w:tc>
              <w:tcPr>
                <w:tcW w:w="1417" w:type="dxa"/>
                <w:tcBorders>
                  <w:top w:val="nil"/>
                  <w:left w:val="nil"/>
                  <w:bottom w:val="nil"/>
                  <w:right w:val="nil"/>
                </w:tcBorders>
                <w:shd w:val="clear" w:color="auto" w:fill="auto"/>
                <w:noWrap/>
                <w:vAlign w:val="bottom"/>
                <w:hideMark/>
              </w:tcPr>
              <w:p>
                <w:pPr>
                  <w:jc w:val="center"/>
                  <w:rPr>
                    <w:sz w:val="20"/>
                    <w:lang w:eastAsia="lt-LT"/>
                  </w:rPr>
                </w:pPr>
              </w:p>
            </w:tc>
            <w:tc>
              <w:tcPr>
                <w:tcW w:w="1276" w:type="dxa"/>
                <w:tcBorders>
                  <w:top w:val="nil"/>
                  <w:left w:val="nil"/>
                  <w:bottom w:val="nil"/>
                  <w:right w:val="nil"/>
                </w:tcBorders>
                <w:shd w:val="clear" w:color="auto" w:fill="auto"/>
                <w:noWrap/>
                <w:vAlign w:val="bottom"/>
                <w:hideMark/>
              </w:tcPr>
              <w:p>
                <w:pPr>
                  <w:jc w:val="center"/>
                  <w:rPr>
                    <w:sz w:val="20"/>
                    <w:lang w:eastAsia="lt-LT"/>
                  </w:rPr>
                </w:pPr>
              </w:p>
            </w:tc>
          </w:tr>
          <w:tr>
            <w:trPr>
              <w:trHeight w:val="330"/>
            </w:trPr>
            <w:tc>
              <w:tcPr>
                <w:tcW w:w="562" w:type="dxa"/>
                <w:tcBorders>
                  <w:top w:val="nil"/>
                  <w:left w:val="nil"/>
                  <w:bottom w:val="nil"/>
                  <w:right w:val="nil"/>
                </w:tcBorders>
                <w:shd w:val="clear" w:color="auto" w:fill="auto"/>
                <w:noWrap/>
                <w:vAlign w:val="bottom"/>
                <w:hideMark/>
              </w:tcPr>
              <w:p>
                <w:pPr>
                  <w:jc w:val="center"/>
                  <w:rPr>
                    <w:sz w:val="20"/>
                    <w:lang w:eastAsia="lt-LT"/>
                  </w:rPr>
                </w:pPr>
              </w:p>
            </w:tc>
            <w:tc>
              <w:tcPr>
                <w:tcW w:w="3111" w:type="dxa"/>
                <w:tcBorders>
                  <w:top w:val="nil"/>
                  <w:left w:val="nil"/>
                  <w:bottom w:val="nil"/>
                  <w:right w:val="nil"/>
                </w:tcBorders>
                <w:shd w:val="clear" w:color="auto" w:fill="auto"/>
                <w:noWrap/>
                <w:vAlign w:val="bottom"/>
                <w:hideMark/>
              </w:tcPr>
              <w:p>
                <w:pPr>
                  <w:rPr>
                    <w:sz w:val="20"/>
                    <w:lang w:eastAsia="lt-LT"/>
                  </w:rPr>
                </w:pPr>
              </w:p>
            </w:tc>
            <w:tc>
              <w:tcPr>
                <w:tcW w:w="1714" w:type="dxa"/>
                <w:tcBorders>
                  <w:top w:val="nil"/>
                  <w:left w:val="nil"/>
                  <w:bottom w:val="nil"/>
                  <w:right w:val="nil"/>
                </w:tcBorders>
                <w:shd w:val="clear" w:color="auto" w:fill="auto"/>
                <w:noWrap/>
                <w:vAlign w:val="bottom"/>
                <w:hideMark/>
              </w:tcPr>
              <w:p>
                <w:pPr>
                  <w:rPr>
                    <w:sz w:val="20"/>
                    <w:lang w:eastAsia="lt-LT"/>
                  </w:rPr>
                </w:pPr>
              </w:p>
            </w:tc>
            <w:tc>
              <w:tcPr>
                <w:tcW w:w="5670" w:type="dxa"/>
                <w:gridSpan w:val="4"/>
                <w:tcBorders>
                  <w:top w:val="nil"/>
                  <w:left w:val="nil"/>
                  <w:bottom w:val="nil"/>
                  <w:right w:val="nil"/>
                </w:tcBorders>
                <w:shd w:val="clear" w:color="auto" w:fill="auto"/>
                <w:noWrap/>
                <w:vAlign w:val="bottom"/>
                <w:hideMark/>
              </w:tcPr>
              <w:p>
                <w:pPr>
                  <w:jc w:val="center"/>
                  <w:rPr>
                    <w:color w:val="000000"/>
                    <w:sz w:val="16"/>
                    <w:szCs w:val="16"/>
                    <w:lang w:eastAsia="lt-LT"/>
                  </w:rPr>
                </w:pPr>
                <w:r>
                  <w:rPr>
                    <w:color w:val="000000"/>
                    <w:sz w:val="16"/>
                    <w:szCs w:val="16"/>
                    <w:lang w:eastAsia="lt-LT"/>
                  </w:rPr>
                  <w:t>data (paskutinio metų ketvirčio paskutinės dienos)</w:t>
                </w:r>
              </w:p>
            </w:tc>
            <w:tc>
              <w:tcPr>
                <w:tcW w:w="1276" w:type="dxa"/>
                <w:tcBorders>
                  <w:top w:val="nil"/>
                  <w:left w:val="nil"/>
                  <w:bottom w:val="nil"/>
                  <w:right w:val="nil"/>
                </w:tcBorders>
                <w:shd w:val="clear" w:color="auto" w:fill="auto"/>
                <w:noWrap/>
                <w:vAlign w:val="bottom"/>
                <w:hideMark/>
              </w:tcPr>
              <w:p>
                <w:pPr>
                  <w:jc w:val="center"/>
                  <w:rPr>
                    <w:color w:val="000000"/>
                    <w:sz w:val="22"/>
                    <w:szCs w:val="22"/>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r>
          <w:tr>
            <w:trPr>
              <w:trHeight w:val="300"/>
            </w:trPr>
            <w:tc>
              <w:tcPr>
                <w:tcW w:w="562" w:type="dxa"/>
                <w:tcBorders>
                  <w:top w:val="nil"/>
                  <w:left w:val="nil"/>
                  <w:bottom w:val="nil"/>
                  <w:right w:val="nil"/>
                </w:tcBorders>
                <w:shd w:val="clear" w:color="auto" w:fill="auto"/>
                <w:noWrap/>
                <w:vAlign w:val="bottom"/>
                <w:hideMark/>
              </w:tcPr>
              <w:p>
                <w:pPr>
                  <w:rPr>
                    <w:sz w:val="20"/>
                    <w:lang w:eastAsia="lt-LT"/>
                  </w:rPr>
                </w:pPr>
              </w:p>
            </w:tc>
            <w:tc>
              <w:tcPr>
                <w:tcW w:w="3111" w:type="dxa"/>
                <w:tcBorders>
                  <w:top w:val="nil"/>
                  <w:left w:val="nil"/>
                  <w:bottom w:val="nil"/>
                  <w:right w:val="nil"/>
                </w:tcBorders>
                <w:shd w:val="clear" w:color="auto" w:fill="auto"/>
                <w:noWrap/>
                <w:vAlign w:val="bottom"/>
                <w:hideMark/>
              </w:tcPr>
              <w:p>
                <w:pPr>
                  <w:rPr>
                    <w:sz w:val="20"/>
                    <w:lang w:eastAsia="lt-LT"/>
                  </w:rPr>
                </w:pPr>
              </w:p>
            </w:tc>
            <w:tc>
              <w:tcPr>
                <w:tcW w:w="171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8" w:type="dxa"/>
                <w:tcBorders>
                  <w:top w:val="nil"/>
                  <w:left w:val="nil"/>
                  <w:bottom w:val="nil"/>
                  <w:right w:val="nil"/>
                </w:tcBorders>
                <w:shd w:val="clear" w:color="auto" w:fill="auto"/>
                <w:noWrap/>
                <w:vAlign w:val="bottom"/>
                <w:hideMark/>
              </w:tcPr>
              <w:p>
                <w:pPr>
                  <w:rPr>
                    <w:sz w:val="20"/>
                    <w:lang w:eastAsia="lt-LT"/>
                  </w:rPr>
                </w:pPr>
              </w:p>
            </w:tc>
            <w:tc>
              <w:tcPr>
                <w:tcW w:w="1276" w:type="dxa"/>
                <w:tcBorders>
                  <w:top w:val="nil"/>
                  <w:left w:val="nil"/>
                  <w:bottom w:val="nil"/>
                  <w:right w:val="nil"/>
                </w:tcBorders>
                <w:shd w:val="clear" w:color="auto" w:fill="auto"/>
                <w:noWrap/>
                <w:vAlign w:val="bottom"/>
                <w:hideMark/>
              </w:tcPr>
              <w:p>
                <w:pPr>
                  <w:rPr>
                    <w:sz w:val="20"/>
                    <w:lang w:eastAsia="lt-LT"/>
                  </w:rPr>
                </w:pPr>
              </w:p>
            </w:tc>
            <w:tc>
              <w:tcPr>
                <w:tcW w:w="2693" w:type="dxa"/>
                <w:gridSpan w:val="2"/>
                <w:tcBorders>
                  <w:top w:val="nil"/>
                  <w:left w:val="nil"/>
                  <w:bottom w:val="nil"/>
                  <w:right w:val="nil"/>
                </w:tcBorders>
                <w:shd w:val="clear" w:color="auto" w:fill="auto"/>
                <w:noWrap/>
                <w:vAlign w:val="bottom"/>
              </w:tcPr>
              <w:p>
                <w:pPr>
                  <w:rPr>
                    <w:strike/>
                    <w:color w:val="000000"/>
                    <w:sz w:val="22"/>
                    <w:szCs w:val="22"/>
                    <w:lang w:eastAsia="lt-LT"/>
                  </w:rPr>
                </w:pPr>
              </w:p>
            </w:tc>
          </w:tr>
          <w:tr>
            <w:trPr>
              <w:trHeight w:val="345"/>
            </w:trPr>
            <w:tc>
              <w:tcPr>
                <w:tcW w:w="562"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Eil. Nr.</w:t>
                </w:r>
              </w:p>
            </w:tc>
            <w:tc>
              <w:tcPr>
                <w:tcW w:w="311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Pavadinimas</w:t>
                </w:r>
              </w:p>
            </w:tc>
            <w:tc>
              <w:tcPr>
                <w:tcW w:w="171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Kodas</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Įsiskolinimo susidarymo data</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szCs w:val="24"/>
                    <w:lang w:eastAsia="lt-LT"/>
                  </w:rPr>
                </w:pPr>
                <w:r>
                  <w:rPr>
                    <w:szCs w:val="24"/>
                    <w:lang w:eastAsia="lt-LT"/>
                  </w:rPr>
                  <w:t>Įsiskolinimo suma, Eur</w:t>
                </w:r>
              </w:p>
            </w:tc>
            <w:tc>
              <w:tcPr>
                <w:tcW w:w="6804" w:type="dxa"/>
                <w:gridSpan w:val="5"/>
                <w:tcBorders>
                  <w:top w:val="single" w:sz="4" w:space="0" w:color="auto"/>
                  <w:left w:val="nil"/>
                  <w:bottom w:val="single" w:sz="4" w:space="0" w:color="auto"/>
                  <w:right w:val="single" w:sz="4" w:space="0" w:color="auto"/>
                </w:tcBorders>
                <w:shd w:val="clear" w:color="auto" w:fill="auto"/>
                <w:noWrap/>
                <w:vAlign w:val="bottom"/>
                <w:hideMark/>
              </w:tcPr>
              <w:p>
                <w:pPr>
                  <w:jc w:val="center"/>
                  <w:rPr>
                    <w:szCs w:val="24"/>
                    <w:lang w:eastAsia="lt-LT"/>
                  </w:rPr>
                </w:pPr>
                <w:r>
                  <w:rPr>
                    <w:szCs w:val="24"/>
                    <w:lang w:eastAsia="lt-LT"/>
                  </w:rPr>
                  <w:t>Iš jų, Eur:</w:t>
                </w:r>
              </w:p>
            </w:tc>
          </w:tr>
          <w:tr>
            <w:trPr>
              <w:trHeight w:val="345"/>
            </w:trPr>
            <w:tc>
              <w:tcPr>
                <w:tcW w:w="562" w:type="dxa"/>
                <w:vMerge/>
                <w:tcBorders>
                  <w:top w:val="single" w:sz="4" w:space="0" w:color="auto"/>
                  <w:left w:val="single" w:sz="4" w:space="0" w:color="auto"/>
                  <w:bottom w:val="single" w:sz="4" w:space="0" w:color="auto"/>
                  <w:right w:val="single" w:sz="4" w:space="0" w:color="auto"/>
                </w:tcBorders>
                <w:vAlign w:val="center"/>
                <w:hideMark/>
              </w:tcPr>
              <w:p>
                <w:pPr>
                  <w:rPr>
                    <w:rFonts w:ascii="Calibri" w:hAnsi="Calibri" w:cs="Calibri"/>
                    <w:color w:val="000000"/>
                    <w:szCs w:val="24"/>
                    <w:lang w:eastAsia="lt-LT"/>
                  </w:rPr>
                </w:pPr>
              </w:p>
            </w:tc>
            <w:tc>
              <w:tcPr>
                <w:tcW w:w="311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71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bottom"/>
                <w:hideMark/>
              </w:tcPr>
              <w:p>
                <w:pPr>
                  <w:jc w:val="center"/>
                  <w:rPr>
                    <w:szCs w:val="24"/>
                    <w:lang w:eastAsia="lt-LT"/>
                  </w:rPr>
                </w:pPr>
                <w:r>
                  <w:rPr>
                    <w:szCs w:val="24"/>
                    <w:lang w:eastAsia="lt-LT"/>
                  </w:rPr>
                  <w:t>Nesuėjęs apmokėjimo terminas</w:t>
                </w:r>
              </w:p>
            </w:tc>
            <w:tc>
              <w:tcPr>
                <w:tcW w:w="5387"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szCs w:val="24"/>
                    <w:lang w:eastAsia="lt-LT"/>
                  </w:rPr>
                </w:pPr>
                <w:r>
                  <w:rPr>
                    <w:szCs w:val="24"/>
                    <w:lang w:eastAsia="lt-LT"/>
                  </w:rPr>
                  <w:t>Vėluojama apmokėti</w:t>
                </w:r>
              </w:p>
            </w:tc>
          </w:tr>
          <w:tr>
            <w:trPr>
              <w:trHeight w:val="945"/>
            </w:trPr>
            <w:tc>
              <w:tcPr>
                <w:tcW w:w="562" w:type="dxa"/>
                <w:vMerge/>
                <w:tcBorders>
                  <w:top w:val="single" w:sz="4" w:space="0" w:color="auto"/>
                  <w:left w:val="single" w:sz="4" w:space="0" w:color="auto"/>
                  <w:bottom w:val="single" w:sz="4" w:space="0" w:color="auto"/>
                  <w:right w:val="single" w:sz="4" w:space="0" w:color="auto"/>
                </w:tcBorders>
                <w:vAlign w:val="center"/>
                <w:hideMark/>
              </w:tcPr>
              <w:p>
                <w:pPr>
                  <w:rPr>
                    <w:rFonts w:ascii="Calibri" w:hAnsi="Calibri" w:cs="Calibri"/>
                    <w:color w:val="000000"/>
                    <w:szCs w:val="24"/>
                    <w:lang w:eastAsia="lt-LT"/>
                  </w:rPr>
                </w:pPr>
              </w:p>
            </w:tc>
            <w:tc>
              <w:tcPr>
                <w:tcW w:w="311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71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418"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1 mėn.</w:t>
                </w:r>
              </w:p>
            </w:tc>
            <w:tc>
              <w:tcPr>
                <w:tcW w:w="1276"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6 mėn.</w:t>
                </w:r>
              </w:p>
            </w:tc>
            <w:tc>
              <w:tcPr>
                <w:tcW w:w="1417"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12 mėn.</w:t>
                </w:r>
              </w:p>
            </w:tc>
            <w:tc>
              <w:tcPr>
                <w:tcW w:w="1276"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virš 1 metų</w:t>
                </w: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14"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48"/>
                  <w:rPr>
                    <w:rFonts w:ascii="Calibri" w:hAnsi="Calibri" w:cs="Calibri"/>
                    <w:color w:val="000000"/>
                    <w:sz w:val="22"/>
                    <w:szCs w:val="22"/>
                    <w:lang w:eastAsia="lt-LT"/>
                  </w:rPr>
                </w:pPr>
              </w:p>
            </w:tc>
            <w:tc>
              <w:tcPr>
                <w:tcW w:w="3111"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Iš viso:</w:t>
                </w:r>
              </w:p>
            </w:tc>
            <w:tc>
              <w:tcPr>
                <w:tcW w:w="1714" w:type="dxa"/>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r>
                  <w:rPr>
                    <w:color w:val="000000"/>
                    <w:sz w:val="22"/>
                    <w:szCs w:val="22"/>
                    <w:lang w:eastAsia="lt-LT"/>
                  </w:rPr>
                  <w:t>0</w:t>
                </w:r>
              </w:p>
            </w:tc>
          </w:tr>
        </w:tbl>
        <w:p>
          <w:pPr>
            <w:rPr>
              <w:b/>
              <w:szCs w:val="24"/>
            </w:rPr>
          </w:pPr>
        </w:p>
        <w:sdt>
          <w:sdtPr>
            <w:alias w:val="pabaiga"/>
            <w:tag w:val="part_41cc0b00b58c400580b71ca2aa181eea"/>
            <w:lock w:val="sdtLocked"/>
            <w:richText/>
          </w:sdtPr>
          <w:sdtContent>
            <w:p>
              <w:pPr>
                <w:ind w:firstLine="680"/>
                <w:jc w:val="center"/>
              </w:pPr>
              <w:r>
                <w:t>_______________________</w:t>
              </w:r>
            </w:p>
            <w:p/>
          </w:sdtContent>
        </w:sdt>
      </w:sdtContent>
    </w:sdt>
    <w:sdt>
      <w:sdtPr>
        <w:alias w:val="2 pr."/>
        <w:tag w:val="part_3939048da9604e0d83ae8728e2d994f9"/>
        <w:lock w:val="sdtLocked"/>
        <w:richText/>
      </w:sdtPr>
      <w:sdtContent>
        <w:p>
          <w:pPr>
            <w:ind w:firstLine="680"/>
            <w:sectPr>
              <w:pgSz w:w="16839" w:h="11907" w:orient="landscape"/>
              <w:pgMar w:top="1701" w:right="1134" w:bottom="567" w:left="1134" w:header="567" w:footer="567" w:gutter="0"/>
              <w:pgNumType w:start="2"/>
              <w:cols w:space="1296"/>
              <w:titlePg/>
              <w:docGrid w:linePitch="360"/>
            </w:sectPr>
          </w:pPr>
        </w:p>
        <w:tbl>
          <w:tblPr>
            <w:tblW w:w="19046" w:type="dxa"/>
            <w:tblLayout w:type="fixed"/>
            <w:tblLook w:val="04A0" w:firstRow="1" w:lastRow="0" w:firstColumn="1" w:lastColumn="0" w:noHBand="0" w:noVBand="1"/>
          </w:tblPr>
          <w:tblGrid>
            <w:gridCol w:w="567"/>
            <w:gridCol w:w="3119"/>
            <w:gridCol w:w="1744"/>
            <w:gridCol w:w="1417"/>
            <w:gridCol w:w="1417"/>
            <w:gridCol w:w="1416"/>
            <w:gridCol w:w="1340"/>
            <w:gridCol w:w="1340"/>
            <w:gridCol w:w="1340"/>
            <w:gridCol w:w="1326"/>
            <w:gridCol w:w="14"/>
            <w:gridCol w:w="1326"/>
            <w:gridCol w:w="1340"/>
            <w:gridCol w:w="1340"/>
          </w:tblGrid>
          <w:tr>
            <w:trPr>
              <w:gridAfter w:val="3"/>
              <w:wAfter w:w="4006" w:type="dxa"/>
              <w:trHeight w:val="315"/>
            </w:trPr>
            <w:tc>
              <w:tcPr>
                <w:tcW w:w="567" w:type="dxa"/>
                <w:tcBorders>
                  <w:top w:val="nil"/>
                  <w:left w:val="nil"/>
                  <w:bottom w:val="nil"/>
                  <w:right w:val="nil"/>
                </w:tcBorders>
                <w:shd w:val="clear" w:color="auto" w:fill="auto"/>
                <w:noWrap/>
                <w:vAlign w:val="bottom"/>
                <w:hideMark/>
              </w:tcPr>
              <w:p>
                <w:pPr>
                  <w:tabs>
                    <w:tab w:val="center" w:pos="4680"/>
                    <w:tab w:val="right" w:pos="9360"/>
                  </w:tabs>
                  <w:rPr>
                    <w:sz w:val="22"/>
                    <w:szCs w:val="22"/>
                    <w:lang w:eastAsia="lt-LT"/>
                  </w:rPr>
                </w:pPr>
              </w:p>
              <w:p>
                <w:pPr>
                  <w:rPr>
                    <w:szCs w:val="24"/>
                    <w:lang w:eastAsia="lt-LT"/>
                  </w:rPr>
                </w:pPr>
              </w:p>
            </w:tc>
            <w:tc>
              <w:tcPr>
                <w:tcW w:w="3119" w:type="dxa"/>
                <w:tcBorders>
                  <w:top w:val="nil"/>
                  <w:left w:val="nil"/>
                  <w:bottom w:val="nil"/>
                  <w:right w:val="nil"/>
                </w:tcBorders>
                <w:shd w:val="clear" w:color="auto" w:fill="auto"/>
                <w:noWrap/>
                <w:vAlign w:val="bottom"/>
                <w:hideMark/>
              </w:tcPr>
              <w:p>
                <w:pPr>
                  <w:rPr>
                    <w:sz w:val="20"/>
                    <w:lang w:eastAsia="lt-LT"/>
                  </w:rPr>
                </w:pPr>
              </w:p>
            </w:tc>
            <w:tc>
              <w:tcPr>
                <w:tcW w:w="174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6"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4020" w:type="dxa"/>
                <w:gridSpan w:val="4"/>
                <w:tcBorders>
                  <w:top w:val="nil"/>
                  <w:left w:val="nil"/>
                  <w:bottom w:val="nil"/>
                  <w:right w:val="nil"/>
                </w:tcBorders>
                <w:shd w:val="clear" w:color="auto" w:fill="auto"/>
                <w:noWrap/>
                <w:vAlign w:val="bottom"/>
              </w:tcPr>
              <w:p>
                <w:pPr>
                  <w:jc w:val="both"/>
                  <w:rPr>
                    <w:color w:val="000000"/>
                    <w:szCs w:val="24"/>
                    <w:lang w:eastAsia="lt-LT"/>
                  </w:rPr>
                </w:pPr>
                <w:r>
                  <w:rPr>
                    <w:color w:val="000000"/>
                    <w:szCs w:val="24"/>
                    <w:lang w:eastAsia="lt-LT"/>
                  </w:rPr>
                  <w:t xml:space="preserve">Mokestinės nepriemokos ar baudos už administracinį nusižengimą mokėjimo atidėjimo ir (ar) išdėstymo taisyklių </w:t>
                </w:r>
              </w:p>
              <w:p>
                <w:pPr>
                  <w:rPr>
                    <w:color w:val="000000"/>
                    <w:szCs w:val="24"/>
                    <w:lang w:eastAsia="lt-LT"/>
                  </w:rPr>
                </w:pPr>
                <w:r>
                  <w:rPr>
                    <w:color w:val="000000"/>
                    <w:szCs w:val="24"/>
                    <w:lang w:eastAsia="lt-LT"/>
                  </w:rPr>
                  <w:t>2 priedas</w:t>
                </w:r>
              </w:p>
            </w:tc>
          </w:tr>
          <w:tr>
            <w:trPr>
              <w:trHeight w:val="315"/>
            </w:trPr>
            <w:tc>
              <w:tcPr>
                <w:tcW w:w="567" w:type="dxa"/>
                <w:tcBorders>
                  <w:top w:val="nil"/>
                  <w:left w:val="nil"/>
                  <w:bottom w:val="nil"/>
                  <w:right w:val="nil"/>
                </w:tcBorders>
                <w:shd w:val="clear" w:color="auto" w:fill="auto"/>
                <w:noWrap/>
                <w:vAlign w:val="bottom"/>
                <w:hideMark/>
              </w:tcPr>
              <w:p>
                <w:pPr>
                  <w:rPr>
                    <w:color w:val="000000"/>
                    <w:szCs w:val="24"/>
                    <w:lang w:eastAsia="lt-LT"/>
                  </w:rPr>
                </w:pPr>
              </w:p>
            </w:tc>
            <w:tc>
              <w:tcPr>
                <w:tcW w:w="14459" w:type="dxa"/>
                <w:gridSpan w:val="9"/>
                <w:tcBorders>
                  <w:top w:val="nil"/>
                  <w:left w:val="nil"/>
                  <w:bottom w:val="nil"/>
                  <w:right w:val="nil"/>
                </w:tcBorders>
                <w:shd w:val="clear" w:color="auto" w:fill="auto"/>
                <w:noWrap/>
                <w:vAlign w:val="bottom"/>
                <w:hideMark/>
              </w:tcPr>
              <w:p>
                <w:pPr>
                  <w:jc w:val="center"/>
                  <w:rPr>
                    <w:b/>
                    <w:sz w:val="20"/>
                  </w:rPr>
                </w:pPr>
              </w:p>
              <w:p>
                <w:pPr>
                  <w:jc w:val="center"/>
                  <w:rPr>
                    <w:b/>
                    <w:szCs w:val="24"/>
                  </w:rPr>
                </w:pPr>
                <w:r>
                  <w:rPr>
                    <w:b/>
                    <w:szCs w:val="24"/>
                  </w:rPr>
                  <w:t>(Debitorių sąrašo (pirkėjų ir kitos skolos) formos pavyzdys)</w:t>
                </w:r>
              </w:p>
              <w:p>
                <w:pPr>
                  <w:jc w:val="center"/>
                  <w:rPr>
                    <w:sz w:val="20"/>
                    <w:lang w:eastAsia="lt-LT"/>
                  </w:rPr>
                </w:pPr>
              </w:p>
            </w:tc>
            <w:tc>
              <w:tcPr>
                <w:tcW w:w="1340" w:type="dxa"/>
                <w:gridSpan w:val="2"/>
                <w:tcBorders>
                  <w:top w:val="nil"/>
                  <w:left w:val="nil"/>
                  <w:bottom w:val="nil"/>
                  <w:right w:val="nil"/>
                </w:tcBorders>
                <w:shd w:val="clear" w:color="auto" w:fill="auto"/>
                <w:noWrap/>
                <w:vAlign w:val="bottom"/>
                <w:hideMark/>
              </w:tcPr>
              <w:p>
                <w:pPr>
                  <w:rPr>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r>
          <w:tr>
            <w:trPr>
              <w:gridAfter w:val="3"/>
              <w:wAfter w:w="4006" w:type="dxa"/>
              <w:trHeight w:val="315"/>
            </w:trPr>
            <w:tc>
              <w:tcPr>
                <w:tcW w:w="567" w:type="dxa"/>
                <w:tcBorders>
                  <w:top w:val="nil"/>
                  <w:left w:val="nil"/>
                  <w:bottom w:val="nil"/>
                  <w:right w:val="nil"/>
                </w:tcBorders>
                <w:shd w:val="clear" w:color="auto" w:fill="auto"/>
                <w:noWrap/>
                <w:vAlign w:val="bottom"/>
                <w:hideMark/>
              </w:tcPr>
              <w:p>
                <w:pPr>
                  <w:rPr>
                    <w:sz w:val="20"/>
                    <w:lang w:eastAsia="lt-LT"/>
                  </w:rPr>
                </w:pPr>
              </w:p>
            </w:tc>
            <w:tc>
              <w:tcPr>
                <w:tcW w:w="7697" w:type="dxa"/>
                <w:gridSpan w:val="4"/>
                <w:tcBorders>
                  <w:top w:val="nil"/>
                  <w:left w:val="nil"/>
                  <w:bottom w:val="nil"/>
                  <w:right w:val="nil"/>
                </w:tcBorders>
                <w:shd w:val="clear" w:color="auto" w:fill="auto"/>
                <w:noWrap/>
                <w:vAlign w:val="bottom"/>
                <w:hideMark/>
              </w:tcPr>
              <w:p>
                <w:pPr>
                  <w:rPr>
                    <w:color w:val="000000"/>
                    <w:szCs w:val="24"/>
                    <w:lang w:eastAsia="lt-LT"/>
                  </w:rPr>
                </w:pPr>
                <w:r>
                  <w:rPr>
                    <w:color w:val="000000"/>
                    <w:szCs w:val="24"/>
                    <w:lang w:eastAsia="lt-LT"/>
                  </w:rPr>
                  <w:t>____________________________</w:t>
                </w:r>
              </w:p>
            </w:tc>
            <w:tc>
              <w:tcPr>
                <w:tcW w:w="1416" w:type="dxa"/>
                <w:tcBorders>
                  <w:top w:val="nil"/>
                  <w:left w:val="nil"/>
                  <w:bottom w:val="nil"/>
                  <w:right w:val="nil"/>
                </w:tcBorders>
                <w:shd w:val="clear" w:color="auto" w:fill="auto"/>
                <w:noWrap/>
                <w:vAlign w:val="bottom"/>
                <w:hideMark/>
              </w:tcPr>
              <w:p>
                <w:pPr>
                  <w:rPr>
                    <w:color w:val="000000"/>
                    <w:szCs w:val="24"/>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gridSpan w:val="2"/>
                <w:tcBorders>
                  <w:top w:val="nil"/>
                  <w:left w:val="nil"/>
                  <w:bottom w:val="nil"/>
                  <w:right w:val="nil"/>
                </w:tcBorders>
                <w:shd w:val="clear" w:color="auto" w:fill="auto"/>
                <w:noWrap/>
                <w:vAlign w:val="bottom"/>
                <w:hideMark/>
              </w:tcPr>
              <w:p>
                <w:pPr>
                  <w:rPr>
                    <w:szCs w:val="24"/>
                    <w:lang w:eastAsia="lt-LT"/>
                  </w:rPr>
                </w:pPr>
              </w:p>
            </w:tc>
          </w:tr>
          <w:tr>
            <w:trPr>
              <w:gridAfter w:val="3"/>
              <w:wAfter w:w="4006" w:type="dxa"/>
              <w:trHeight w:val="315"/>
            </w:trPr>
            <w:tc>
              <w:tcPr>
                <w:tcW w:w="567" w:type="dxa"/>
                <w:tcBorders>
                  <w:top w:val="nil"/>
                  <w:left w:val="nil"/>
                  <w:bottom w:val="nil"/>
                  <w:right w:val="nil"/>
                </w:tcBorders>
                <w:shd w:val="clear" w:color="auto" w:fill="auto"/>
                <w:noWrap/>
                <w:vAlign w:val="bottom"/>
                <w:hideMark/>
              </w:tcPr>
              <w:p>
                <w:pPr>
                  <w:rPr>
                    <w:sz w:val="20"/>
                    <w:lang w:eastAsia="lt-LT"/>
                  </w:rPr>
                </w:pPr>
              </w:p>
            </w:tc>
            <w:tc>
              <w:tcPr>
                <w:tcW w:w="4863" w:type="dxa"/>
                <w:gridSpan w:val="2"/>
                <w:tcBorders>
                  <w:top w:val="nil"/>
                  <w:left w:val="nil"/>
                  <w:bottom w:val="nil"/>
                  <w:right w:val="nil"/>
                </w:tcBorders>
                <w:shd w:val="clear" w:color="auto" w:fill="auto"/>
                <w:noWrap/>
                <w:vAlign w:val="bottom"/>
                <w:hideMark/>
              </w:tcPr>
              <w:p>
                <w:pPr>
                  <w:rPr>
                    <w:color w:val="000000"/>
                    <w:szCs w:val="24"/>
                    <w:lang w:eastAsia="lt-LT"/>
                  </w:rPr>
                </w:pPr>
                <w:r>
                  <w:rPr>
                    <w:color w:val="000000"/>
                    <w:sz w:val="16"/>
                  </w:rPr>
                  <w:t>(mokesčių mokėtojo pavadinimas arba vardas, pavardė)</w:t>
                </w:r>
              </w:p>
            </w:tc>
            <w:tc>
              <w:tcPr>
                <w:tcW w:w="1417" w:type="dxa"/>
                <w:tcBorders>
                  <w:top w:val="nil"/>
                  <w:left w:val="nil"/>
                  <w:bottom w:val="nil"/>
                  <w:right w:val="nil"/>
                </w:tcBorders>
                <w:shd w:val="clear" w:color="auto" w:fill="auto"/>
                <w:noWrap/>
                <w:vAlign w:val="bottom"/>
                <w:hideMark/>
              </w:tcPr>
              <w:p>
                <w:pPr>
                  <w:rPr>
                    <w:color w:val="000000"/>
                    <w:szCs w:val="24"/>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6"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gridSpan w:val="2"/>
                <w:tcBorders>
                  <w:top w:val="nil"/>
                  <w:left w:val="nil"/>
                  <w:bottom w:val="nil"/>
                  <w:right w:val="nil"/>
                </w:tcBorders>
                <w:shd w:val="clear" w:color="auto" w:fill="auto"/>
                <w:noWrap/>
                <w:vAlign w:val="bottom"/>
                <w:hideMark/>
              </w:tcPr>
              <w:p>
                <w:pPr>
                  <w:rPr>
                    <w:szCs w:val="24"/>
                    <w:lang w:eastAsia="lt-LT"/>
                  </w:rPr>
                </w:pPr>
              </w:p>
            </w:tc>
          </w:tr>
          <w:tr>
            <w:trPr>
              <w:gridAfter w:val="3"/>
              <w:wAfter w:w="4006" w:type="dxa"/>
              <w:trHeight w:val="315"/>
            </w:trPr>
            <w:tc>
              <w:tcPr>
                <w:tcW w:w="567" w:type="dxa"/>
                <w:tcBorders>
                  <w:top w:val="nil"/>
                  <w:left w:val="nil"/>
                  <w:bottom w:val="nil"/>
                  <w:right w:val="nil"/>
                </w:tcBorders>
                <w:shd w:val="clear" w:color="auto" w:fill="auto"/>
                <w:noWrap/>
                <w:vAlign w:val="bottom"/>
                <w:hideMark/>
              </w:tcPr>
              <w:p>
                <w:pPr>
                  <w:rPr>
                    <w:sz w:val="20"/>
                    <w:lang w:eastAsia="lt-LT"/>
                  </w:rPr>
                </w:pPr>
              </w:p>
            </w:tc>
            <w:tc>
              <w:tcPr>
                <w:tcW w:w="3119" w:type="dxa"/>
                <w:tcBorders>
                  <w:top w:val="nil"/>
                  <w:left w:val="nil"/>
                  <w:bottom w:val="nil"/>
                  <w:right w:val="nil"/>
                </w:tcBorders>
                <w:shd w:val="clear" w:color="auto" w:fill="auto"/>
                <w:noWrap/>
                <w:vAlign w:val="bottom"/>
                <w:hideMark/>
              </w:tcPr>
              <w:p>
                <w:pPr>
                  <w:rPr>
                    <w:sz w:val="20"/>
                    <w:lang w:eastAsia="lt-LT"/>
                  </w:rPr>
                </w:pPr>
              </w:p>
            </w:tc>
            <w:tc>
              <w:tcPr>
                <w:tcW w:w="174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6"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gridSpan w:val="2"/>
                <w:tcBorders>
                  <w:top w:val="nil"/>
                  <w:left w:val="nil"/>
                  <w:bottom w:val="nil"/>
                  <w:right w:val="nil"/>
                </w:tcBorders>
                <w:shd w:val="clear" w:color="auto" w:fill="auto"/>
                <w:noWrap/>
                <w:vAlign w:val="bottom"/>
                <w:hideMark/>
              </w:tcPr>
              <w:p>
                <w:pPr>
                  <w:rPr>
                    <w:szCs w:val="24"/>
                    <w:lang w:eastAsia="lt-LT"/>
                  </w:rPr>
                </w:pPr>
              </w:p>
            </w:tc>
          </w:tr>
          <w:tr>
            <w:trPr>
              <w:gridAfter w:val="3"/>
              <w:wAfter w:w="4006" w:type="dxa"/>
              <w:trHeight w:val="420"/>
            </w:trPr>
            <w:tc>
              <w:tcPr>
                <w:tcW w:w="567" w:type="dxa"/>
                <w:tcBorders>
                  <w:top w:val="nil"/>
                  <w:left w:val="nil"/>
                  <w:bottom w:val="nil"/>
                  <w:right w:val="nil"/>
                </w:tcBorders>
                <w:shd w:val="clear" w:color="auto" w:fill="auto"/>
                <w:noWrap/>
                <w:vAlign w:val="bottom"/>
                <w:hideMark/>
              </w:tcPr>
              <w:p>
                <w:pPr>
                  <w:rPr>
                    <w:sz w:val="20"/>
                    <w:lang w:eastAsia="lt-LT"/>
                  </w:rPr>
                </w:pPr>
              </w:p>
            </w:tc>
            <w:tc>
              <w:tcPr>
                <w:tcW w:w="14473" w:type="dxa"/>
                <w:gridSpan w:val="10"/>
                <w:tcBorders>
                  <w:top w:val="nil"/>
                  <w:left w:val="nil"/>
                  <w:bottom w:val="nil"/>
                  <w:right w:val="nil"/>
                </w:tcBorders>
                <w:shd w:val="clear" w:color="auto" w:fill="auto"/>
                <w:noWrap/>
                <w:vAlign w:val="bottom"/>
                <w:hideMark/>
              </w:tcPr>
              <w:p>
                <w:pPr>
                  <w:jc w:val="center"/>
                  <w:rPr>
                    <w:b/>
                    <w:bCs/>
                    <w:color w:val="000000"/>
                    <w:szCs w:val="24"/>
                    <w:lang w:eastAsia="lt-LT"/>
                  </w:rPr>
                </w:pPr>
                <w:r>
                  <w:rPr>
                    <w:b/>
                    <w:bCs/>
                    <w:color w:val="000000"/>
                    <w:szCs w:val="24"/>
                    <w:lang w:eastAsia="lt-LT"/>
                  </w:rPr>
                  <w:t xml:space="preserve">DEBITORIŲ SĄRAŠAS (PIRKĖJŲ IR KITOS SKOLOS) </w:t>
                </w:r>
              </w:p>
            </w:tc>
          </w:tr>
          <w:tr>
            <w:trPr>
              <w:gridAfter w:val="3"/>
              <w:wAfter w:w="4006" w:type="dxa"/>
              <w:trHeight w:val="420"/>
            </w:trPr>
            <w:tc>
              <w:tcPr>
                <w:tcW w:w="567" w:type="dxa"/>
                <w:tcBorders>
                  <w:top w:val="nil"/>
                  <w:left w:val="nil"/>
                  <w:bottom w:val="nil"/>
                  <w:right w:val="nil"/>
                </w:tcBorders>
                <w:shd w:val="clear" w:color="auto" w:fill="auto"/>
                <w:noWrap/>
                <w:vAlign w:val="bottom"/>
                <w:hideMark/>
              </w:tcPr>
              <w:p>
                <w:pPr>
                  <w:jc w:val="center"/>
                  <w:rPr>
                    <w:b/>
                    <w:bCs/>
                    <w:color w:val="000000"/>
                    <w:sz w:val="28"/>
                    <w:szCs w:val="28"/>
                    <w:lang w:eastAsia="lt-LT"/>
                  </w:rPr>
                </w:pPr>
              </w:p>
            </w:tc>
            <w:tc>
              <w:tcPr>
                <w:tcW w:w="3119" w:type="dxa"/>
                <w:tcBorders>
                  <w:top w:val="nil"/>
                  <w:left w:val="nil"/>
                  <w:bottom w:val="nil"/>
                  <w:right w:val="nil"/>
                </w:tcBorders>
                <w:shd w:val="clear" w:color="auto" w:fill="auto"/>
                <w:noWrap/>
                <w:vAlign w:val="bottom"/>
                <w:hideMark/>
              </w:tcPr>
              <w:p>
                <w:pPr>
                  <w:rPr>
                    <w:sz w:val="20"/>
                    <w:lang w:eastAsia="lt-LT"/>
                  </w:rPr>
                </w:pPr>
              </w:p>
            </w:tc>
            <w:tc>
              <w:tcPr>
                <w:tcW w:w="1744" w:type="dxa"/>
                <w:tcBorders>
                  <w:top w:val="nil"/>
                  <w:left w:val="nil"/>
                  <w:bottom w:val="nil"/>
                  <w:right w:val="nil"/>
                </w:tcBorders>
                <w:shd w:val="clear" w:color="auto" w:fill="auto"/>
                <w:noWrap/>
                <w:vAlign w:val="bottom"/>
                <w:hideMark/>
              </w:tcPr>
              <w:p>
                <w:pPr>
                  <w:jc w:val="center"/>
                  <w:rPr>
                    <w:sz w:val="20"/>
                    <w:lang w:eastAsia="lt-LT"/>
                  </w:rPr>
                </w:pPr>
              </w:p>
            </w:tc>
            <w:tc>
              <w:tcPr>
                <w:tcW w:w="5590" w:type="dxa"/>
                <w:gridSpan w:val="4"/>
                <w:tcBorders>
                  <w:top w:val="nil"/>
                  <w:left w:val="nil"/>
                  <w:bottom w:val="nil"/>
                  <w:right w:val="nil"/>
                </w:tcBorders>
                <w:shd w:val="clear" w:color="auto" w:fill="auto"/>
                <w:noWrap/>
                <w:vAlign w:val="bottom"/>
                <w:hideMark/>
              </w:tcPr>
              <w:p>
                <w:pPr>
                  <w:ind w:firstLine="558"/>
                  <w:rPr>
                    <w:color w:val="000000"/>
                    <w:szCs w:val="24"/>
                    <w:lang w:eastAsia="lt-LT"/>
                  </w:rPr>
                </w:pPr>
                <w:r>
                  <w:rPr>
                    <w:color w:val="000000"/>
                    <w:szCs w:val="24"/>
                    <w:lang w:eastAsia="lt-LT"/>
                  </w:rPr>
                  <w:t>__________________________________</w:t>
                </w:r>
              </w:p>
            </w:tc>
            <w:tc>
              <w:tcPr>
                <w:tcW w:w="1340" w:type="dxa"/>
                <w:tcBorders>
                  <w:top w:val="nil"/>
                  <w:left w:val="nil"/>
                  <w:bottom w:val="nil"/>
                  <w:right w:val="nil"/>
                </w:tcBorders>
                <w:shd w:val="clear" w:color="auto" w:fill="auto"/>
                <w:noWrap/>
                <w:vAlign w:val="bottom"/>
                <w:hideMark/>
              </w:tcPr>
              <w:p>
                <w:pPr>
                  <w:rPr>
                    <w:color w:val="000000"/>
                    <w:szCs w:val="24"/>
                    <w:lang w:eastAsia="lt-LT"/>
                  </w:rPr>
                </w:pPr>
              </w:p>
            </w:tc>
            <w:tc>
              <w:tcPr>
                <w:tcW w:w="1340" w:type="dxa"/>
                <w:tcBorders>
                  <w:top w:val="nil"/>
                  <w:left w:val="nil"/>
                  <w:bottom w:val="nil"/>
                  <w:right w:val="nil"/>
                </w:tcBorders>
                <w:shd w:val="clear" w:color="auto" w:fill="auto"/>
                <w:noWrap/>
                <w:vAlign w:val="bottom"/>
                <w:hideMark/>
              </w:tcPr>
              <w:p>
                <w:pPr>
                  <w:jc w:val="center"/>
                  <w:rPr>
                    <w:szCs w:val="24"/>
                    <w:lang w:eastAsia="lt-LT"/>
                  </w:rPr>
                </w:pPr>
              </w:p>
            </w:tc>
            <w:tc>
              <w:tcPr>
                <w:tcW w:w="1340" w:type="dxa"/>
                <w:gridSpan w:val="2"/>
                <w:tcBorders>
                  <w:top w:val="nil"/>
                  <w:left w:val="nil"/>
                  <w:bottom w:val="nil"/>
                  <w:right w:val="nil"/>
                </w:tcBorders>
                <w:shd w:val="clear" w:color="auto" w:fill="auto"/>
                <w:noWrap/>
                <w:vAlign w:val="bottom"/>
                <w:hideMark/>
              </w:tcPr>
              <w:p>
                <w:pPr>
                  <w:jc w:val="center"/>
                  <w:rPr>
                    <w:szCs w:val="24"/>
                    <w:lang w:eastAsia="lt-LT"/>
                  </w:rPr>
                </w:pPr>
              </w:p>
            </w:tc>
          </w:tr>
          <w:tr>
            <w:trPr>
              <w:gridAfter w:val="3"/>
              <w:wAfter w:w="4006" w:type="dxa"/>
              <w:trHeight w:val="330"/>
            </w:trPr>
            <w:tc>
              <w:tcPr>
                <w:tcW w:w="567" w:type="dxa"/>
                <w:tcBorders>
                  <w:top w:val="nil"/>
                  <w:left w:val="nil"/>
                  <w:bottom w:val="nil"/>
                  <w:right w:val="nil"/>
                </w:tcBorders>
                <w:shd w:val="clear" w:color="auto" w:fill="auto"/>
                <w:noWrap/>
                <w:vAlign w:val="bottom"/>
                <w:hideMark/>
              </w:tcPr>
              <w:p>
                <w:pPr>
                  <w:jc w:val="center"/>
                  <w:rPr>
                    <w:sz w:val="20"/>
                    <w:lang w:eastAsia="lt-LT"/>
                  </w:rPr>
                </w:pPr>
              </w:p>
            </w:tc>
            <w:tc>
              <w:tcPr>
                <w:tcW w:w="3119" w:type="dxa"/>
                <w:tcBorders>
                  <w:top w:val="nil"/>
                  <w:left w:val="nil"/>
                  <w:bottom w:val="nil"/>
                  <w:right w:val="nil"/>
                </w:tcBorders>
                <w:shd w:val="clear" w:color="auto" w:fill="auto"/>
                <w:noWrap/>
                <w:vAlign w:val="bottom"/>
                <w:hideMark/>
              </w:tcPr>
              <w:p>
                <w:pPr>
                  <w:rPr>
                    <w:sz w:val="20"/>
                    <w:lang w:eastAsia="lt-LT"/>
                  </w:rPr>
                </w:pPr>
              </w:p>
            </w:tc>
            <w:tc>
              <w:tcPr>
                <w:tcW w:w="1744" w:type="dxa"/>
                <w:tcBorders>
                  <w:top w:val="nil"/>
                  <w:left w:val="nil"/>
                  <w:bottom w:val="nil"/>
                  <w:right w:val="nil"/>
                </w:tcBorders>
                <w:shd w:val="clear" w:color="auto" w:fill="auto"/>
                <w:noWrap/>
                <w:vAlign w:val="bottom"/>
                <w:hideMark/>
              </w:tcPr>
              <w:p>
                <w:pPr>
                  <w:rPr>
                    <w:sz w:val="20"/>
                    <w:lang w:eastAsia="lt-LT"/>
                  </w:rPr>
                </w:pPr>
              </w:p>
            </w:tc>
            <w:tc>
              <w:tcPr>
                <w:tcW w:w="5590" w:type="dxa"/>
                <w:gridSpan w:val="4"/>
                <w:tcBorders>
                  <w:top w:val="nil"/>
                  <w:left w:val="nil"/>
                  <w:bottom w:val="nil"/>
                  <w:right w:val="nil"/>
                </w:tcBorders>
                <w:shd w:val="clear" w:color="auto" w:fill="auto"/>
                <w:noWrap/>
                <w:vAlign w:val="bottom"/>
                <w:hideMark/>
              </w:tcPr>
              <w:p>
                <w:pPr>
                  <w:jc w:val="center"/>
                  <w:rPr>
                    <w:color w:val="000000"/>
                    <w:sz w:val="16"/>
                    <w:szCs w:val="16"/>
                    <w:lang w:eastAsia="lt-LT"/>
                  </w:rPr>
                </w:pPr>
                <w:r>
                  <w:rPr>
                    <w:color w:val="000000"/>
                    <w:sz w:val="16"/>
                    <w:szCs w:val="16"/>
                    <w:lang w:eastAsia="lt-LT"/>
                  </w:rPr>
                  <w:t>data (paskutinio metų ketvirčio paskutinės dienos)</w:t>
                </w:r>
              </w:p>
            </w:tc>
            <w:tc>
              <w:tcPr>
                <w:tcW w:w="1340" w:type="dxa"/>
                <w:tcBorders>
                  <w:top w:val="nil"/>
                  <w:left w:val="nil"/>
                  <w:bottom w:val="nil"/>
                  <w:right w:val="nil"/>
                </w:tcBorders>
                <w:shd w:val="clear" w:color="auto" w:fill="auto"/>
                <w:noWrap/>
                <w:vAlign w:val="bottom"/>
                <w:hideMark/>
              </w:tcPr>
              <w:p>
                <w:pPr>
                  <w:jc w:val="center"/>
                  <w:rPr>
                    <w:color w:val="000000"/>
                    <w:szCs w:val="24"/>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1340" w:type="dxa"/>
                <w:gridSpan w:val="2"/>
                <w:tcBorders>
                  <w:top w:val="nil"/>
                  <w:left w:val="nil"/>
                  <w:bottom w:val="nil"/>
                  <w:right w:val="nil"/>
                </w:tcBorders>
                <w:shd w:val="clear" w:color="auto" w:fill="auto"/>
                <w:noWrap/>
                <w:vAlign w:val="bottom"/>
                <w:hideMark/>
              </w:tcPr>
              <w:p>
                <w:pPr>
                  <w:rPr>
                    <w:szCs w:val="24"/>
                    <w:lang w:eastAsia="lt-LT"/>
                  </w:rPr>
                </w:pPr>
              </w:p>
            </w:tc>
          </w:tr>
          <w:tr>
            <w:trPr>
              <w:gridAfter w:val="3"/>
              <w:wAfter w:w="4006" w:type="dxa"/>
              <w:trHeight w:val="315"/>
            </w:trPr>
            <w:tc>
              <w:tcPr>
                <w:tcW w:w="567" w:type="dxa"/>
                <w:tcBorders>
                  <w:top w:val="nil"/>
                  <w:left w:val="nil"/>
                  <w:bottom w:val="nil"/>
                  <w:right w:val="nil"/>
                </w:tcBorders>
                <w:shd w:val="clear" w:color="auto" w:fill="auto"/>
                <w:noWrap/>
                <w:vAlign w:val="bottom"/>
                <w:hideMark/>
              </w:tcPr>
              <w:p>
                <w:pPr>
                  <w:rPr>
                    <w:sz w:val="20"/>
                    <w:lang w:eastAsia="lt-LT"/>
                  </w:rPr>
                </w:pPr>
              </w:p>
            </w:tc>
            <w:tc>
              <w:tcPr>
                <w:tcW w:w="3119" w:type="dxa"/>
                <w:tcBorders>
                  <w:top w:val="nil"/>
                  <w:left w:val="nil"/>
                  <w:bottom w:val="nil"/>
                  <w:right w:val="nil"/>
                </w:tcBorders>
                <w:shd w:val="clear" w:color="auto" w:fill="auto"/>
                <w:noWrap/>
                <w:vAlign w:val="bottom"/>
                <w:hideMark/>
              </w:tcPr>
              <w:p>
                <w:pPr>
                  <w:rPr>
                    <w:sz w:val="20"/>
                    <w:lang w:eastAsia="lt-LT"/>
                  </w:rPr>
                </w:pPr>
              </w:p>
            </w:tc>
            <w:tc>
              <w:tcPr>
                <w:tcW w:w="1744"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7" w:type="dxa"/>
                <w:tcBorders>
                  <w:top w:val="nil"/>
                  <w:left w:val="nil"/>
                  <w:bottom w:val="nil"/>
                  <w:right w:val="nil"/>
                </w:tcBorders>
                <w:shd w:val="clear" w:color="auto" w:fill="auto"/>
                <w:noWrap/>
                <w:vAlign w:val="bottom"/>
                <w:hideMark/>
              </w:tcPr>
              <w:p>
                <w:pPr>
                  <w:rPr>
                    <w:sz w:val="20"/>
                    <w:lang w:eastAsia="lt-LT"/>
                  </w:rPr>
                </w:pPr>
              </w:p>
            </w:tc>
            <w:tc>
              <w:tcPr>
                <w:tcW w:w="1416"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Cs w:val="24"/>
                    <w:lang w:eastAsia="lt-LT"/>
                  </w:rPr>
                </w:pPr>
              </w:p>
            </w:tc>
            <w:tc>
              <w:tcPr>
                <w:tcW w:w="2680" w:type="dxa"/>
                <w:gridSpan w:val="3"/>
                <w:tcBorders>
                  <w:top w:val="nil"/>
                  <w:left w:val="nil"/>
                  <w:bottom w:val="nil"/>
                  <w:right w:val="nil"/>
                </w:tcBorders>
                <w:shd w:val="clear" w:color="auto" w:fill="auto"/>
                <w:noWrap/>
                <w:vAlign w:val="bottom"/>
                <w:hideMark/>
              </w:tcPr>
              <w:p>
                <w:pPr>
                  <w:rPr>
                    <w:strike/>
                    <w:color w:val="000000"/>
                    <w:szCs w:val="24"/>
                    <w:lang w:eastAsia="lt-LT"/>
                  </w:rPr>
                </w:pPr>
              </w:p>
            </w:tc>
          </w:tr>
          <w:tr>
            <w:trPr>
              <w:gridAfter w:val="3"/>
              <w:wAfter w:w="4006" w:type="dxa"/>
              <w:trHeight w:val="345"/>
            </w:trPr>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Eil.Nr.</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Pavadinimas</w:t>
                </w:r>
              </w:p>
            </w:tc>
            <w:tc>
              <w:tcPr>
                <w:tcW w:w="174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Kodas</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Įsiskolinimo susidarymo data</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Įsiskolinimo suma, Eur</w:t>
                </w:r>
              </w:p>
            </w:tc>
            <w:tc>
              <w:tcPr>
                <w:tcW w:w="6776" w:type="dxa"/>
                <w:gridSpan w:val="6"/>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Iš jų, Eur:</w:t>
                </w:r>
              </w:p>
            </w:tc>
          </w:tr>
          <w:tr>
            <w:trPr>
              <w:gridAfter w:val="3"/>
              <w:wAfter w:w="4006" w:type="dxa"/>
              <w:trHeight w:val="345"/>
            </w:trP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74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6" w:type="dxa"/>
                <w:vMerge w:val="restart"/>
                <w:tcBorders>
                  <w:top w:val="nil"/>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Nesuėjęs apmokėjimo terminas</w:t>
                </w:r>
              </w:p>
            </w:tc>
            <w:tc>
              <w:tcPr>
                <w:tcW w:w="5360" w:type="dxa"/>
                <w:gridSpan w:val="5"/>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Vėluojama apmokėti</w:t>
                </w:r>
              </w:p>
            </w:tc>
          </w:tr>
          <w:tr>
            <w:trPr>
              <w:gridAfter w:val="3"/>
              <w:wAfter w:w="4006" w:type="dxa"/>
              <w:trHeight w:val="945"/>
            </w:trP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74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416"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340"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1 mėn.</w:t>
                </w:r>
              </w:p>
            </w:tc>
            <w:tc>
              <w:tcPr>
                <w:tcW w:w="1340"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6 mėn.</w:t>
                </w:r>
              </w:p>
            </w:tc>
            <w:tc>
              <w:tcPr>
                <w:tcW w:w="1340"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iki 12 mėn.</w:t>
                </w:r>
              </w:p>
            </w:tc>
            <w:tc>
              <w:tcPr>
                <w:tcW w:w="1340" w:type="dxa"/>
                <w:gridSpan w:val="2"/>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virš 1 metų</w:t>
                </w: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6"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gridAfter w:val="3"/>
              <w:wAfter w:w="4006" w:type="dxa"/>
              <w:trHeight w:val="31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3119" w:type="dxa"/>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Iš viso:</w:t>
                </w:r>
              </w:p>
            </w:tc>
            <w:tc>
              <w:tcPr>
                <w:tcW w:w="1744"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1416" w:type="dxa"/>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1340" w:type="dxa"/>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1340" w:type="dxa"/>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1340" w:type="dxa"/>
                <w:tcBorders>
                  <w:top w:val="nil"/>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1340" w:type="dxa"/>
                <w:gridSpan w:val="2"/>
                <w:tcBorders>
                  <w:top w:val="nil"/>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r>
        </w:tbl>
        <w:sdt>
          <w:sdtPr>
            <w:alias w:val="pabaiga"/>
            <w:tag w:val="part_c5da5f06977a4408914c039282fea6f5"/>
            <w:lock w:val="sdtLocked"/>
            <w:richText/>
          </w:sdtPr>
          <w:sdtContent>
            <w:p>
              <w:pPr>
                <w:ind w:firstLine="680"/>
                <w:jc w:val="center"/>
              </w:pPr>
              <w:r>
                <w:t>______________________</w:t>
              </w:r>
            </w:p>
          </w:sdtContent>
        </w:sdt>
      </w:sdtContent>
    </w:sdt>
    <w:sdt>
      <w:sdtPr>
        <w:alias w:val="3 pr."/>
        <w:tag w:val="part_38d7c38382cc485fbd2727818d69367c"/>
        <w:lock w:val="sdtLocked"/>
        <w:richText/>
      </w:sdtPr>
      <w:sdtContent>
        <w:p>
          <w:pPr>
            <w:ind w:firstLine="680"/>
            <w:jc w:val="center"/>
          </w:pPr>
        </w:p>
        <w:p>
          <w:pPr>
            <w:ind w:firstLine="680"/>
            <w:jc w:val="center"/>
            <w:sectPr>
              <w:pgSz w:w="16839" w:h="11907" w:orient="landscape"/>
              <w:pgMar w:top="1701" w:right="1134" w:bottom="567" w:left="1134" w:header="567" w:footer="567" w:gutter="0"/>
              <w:pgNumType w:start="2"/>
              <w:cols w:space="1296"/>
              <w:titlePg/>
              <w:docGrid w:linePitch="360"/>
            </w:sectPr>
          </w:pPr>
        </w:p>
        <w:tbl>
          <w:tblPr>
            <w:tblW w:w="9024" w:type="dxa"/>
            <w:tblLook w:val="04A0" w:firstRow="1" w:lastRow="0" w:firstColumn="1" w:lastColumn="0" w:noHBand="0" w:noVBand="1"/>
          </w:tblPr>
          <w:tblGrid>
            <w:gridCol w:w="284"/>
            <w:gridCol w:w="2180"/>
            <w:gridCol w:w="2180"/>
            <w:gridCol w:w="2200"/>
            <w:gridCol w:w="2180"/>
          </w:tblGrid>
          <w:tr>
            <w:trPr>
              <w:trHeight w:val="330"/>
            </w:trPr>
            <w:tc>
              <w:tcPr>
                <w:tcW w:w="284" w:type="dxa"/>
                <w:tcBorders>
                  <w:top w:val="nil"/>
                  <w:left w:val="nil"/>
                  <w:bottom w:val="nil"/>
                  <w:right w:val="nil"/>
                </w:tcBorders>
                <w:shd w:val="clear" w:color="auto" w:fill="auto"/>
                <w:noWrap/>
                <w:vAlign w:val="bottom"/>
                <w:hideMark/>
              </w:tcPr>
              <w:p>
                <w:pPr>
                  <w:tabs>
                    <w:tab w:val="center" w:pos="4680"/>
                    <w:tab w:val="right" w:pos="9360"/>
                  </w:tabs>
                  <w:rPr>
                    <w:sz w:val="22"/>
                    <w:szCs w:val="22"/>
                    <w:lang w:eastAsia="lt-LT"/>
                  </w:rPr>
                </w:pPr>
              </w:p>
              <w:p>
                <w:pPr>
                  <w:rPr>
                    <w:szCs w:val="24"/>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4380" w:type="dxa"/>
                <w:gridSpan w:val="2"/>
                <w:tcBorders>
                  <w:top w:val="nil"/>
                  <w:left w:val="nil"/>
                  <w:bottom w:val="nil"/>
                </w:tcBorders>
                <w:shd w:val="clear" w:color="auto" w:fill="auto"/>
                <w:noWrap/>
                <w:vAlign w:val="bottom"/>
                <w:hideMark/>
              </w:tcPr>
              <w:p>
                <w:pPr>
                  <w:jc w:val="both"/>
                  <w:rPr>
                    <w:color w:val="000000"/>
                    <w:szCs w:val="24"/>
                    <w:lang w:eastAsia="lt-LT"/>
                  </w:rPr>
                </w:pPr>
                <w:r>
                  <w:rPr>
                    <w:color w:val="000000"/>
                    <w:szCs w:val="24"/>
                    <w:lang w:eastAsia="lt-LT"/>
                  </w:rPr>
                  <w:t xml:space="preserve">Mokestinės nepriemokos ar baudos už administracinį nusižengimą mokėjimo atidėjimo ir (ar) išdėstymo taisyklių </w:t>
                </w:r>
              </w:p>
              <w:p>
                <w:pPr>
                  <w:rPr>
                    <w:szCs w:val="24"/>
                    <w:lang w:eastAsia="lt-LT"/>
                  </w:rPr>
                </w:pPr>
                <w:r>
                  <w:rPr>
                    <w:szCs w:val="24"/>
                    <w:lang w:eastAsia="lt-LT"/>
                  </w:rPr>
                  <w:t>3 priedas</w:t>
                </w:r>
              </w:p>
            </w:tc>
          </w:tr>
          <w:tr>
            <w:trPr>
              <w:trHeight w:val="330"/>
            </w:trPr>
            <w:tc>
              <w:tcPr>
                <w:tcW w:w="284"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20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color w:val="000000"/>
                    <w:szCs w:val="24"/>
                    <w:lang w:eastAsia="lt-LT"/>
                  </w:rPr>
                </w:pPr>
              </w:p>
            </w:tc>
          </w:tr>
          <w:tr>
            <w:trPr>
              <w:trHeight w:val="330"/>
            </w:trPr>
            <w:tc>
              <w:tcPr>
                <w:tcW w:w="284" w:type="dxa"/>
                <w:tcBorders>
                  <w:top w:val="nil"/>
                  <w:left w:val="nil"/>
                  <w:bottom w:val="nil"/>
                  <w:right w:val="nil"/>
                </w:tcBorders>
                <w:shd w:val="clear" w:color="auto" w:fill="auto"/>
                <w:noWrap/>
                <w:vAlign w:val="bottom"/>
                <w:hideMark/>
              </w:tcPr>
              <w:p>
                <w:pPr>
                  <w:rPr>
                    <w:color w:val="000000"/>
                    <w:szCs w:val="24"/>
                    <w:lang w:eastAsia="lt-LT"/>
                  </w:rPr>
                </w:pPr>
              </w:p>
            </w:tc>
            <w:tc>
              <w:tcPr>
                <w:tcW w:w="8740" w:type="dxa"/>
                <w:gridSpan w:val="4"/>
                <w:tcBorders>
                  <w:top w:val="nil"/>
                  <w:left w:val="nil"/>
                  <w:bottom w:val="nil"/>
                </w:tcBorders>
                <w:shd w:val="clear" w:color="auto" w:fill="auto"/>
                <w:noWrap/>
                <w:vAlign w:val="bottom"/>
                <w:hideMark/>
              </w:tcPr>
              <w:p>
                <w:pPr>
                  <w:jc w:val="center"/>
                  <w:rPr>
                    <w:sz w:val="20"/>
                    <w:lang w:eastAsia="lt-LT"/>
                  </w:rPr>
                </w:pPr>
                <w:r>
                  <w:rPr>
                    <w:b/>
                  </w:rPr>
                  <w:t>(Pajamų ir išlaidų per paskutinius 3 mėnesius formos pavyzdys)</w:t>
                </w:r>
              </w:p>
            </w:tc>
          </w:tr>
          <w:tr>
            <w:trPr>
              <w:trHeight w:val="330"/>
            </w:trPr>
            <w:tc>
              <w:tcPr>
                <w:tcW w:w="284"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20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r>
          <w:tr>
            <w:trPr>
              <w:trHeight w:val="330"/>
            </w:trPr>
            <w:tc>
              <w:tcPr>
                <w:tcW w:w="284" w:type="dxa"/>
                <w:tcBorders>
                  <w:top w:val="nil"/>
                  <w:left w:val="nil"/>
                  <w:bottom w:val="nil"/>
                  <w:right w:val="nil"/>
                </w:tcBorders>
                <w:shd w:val="clear" w:color="auto" w:fill="auto"/>
                <w:noWrap/>
                <w:vAlign w:val="bottom"/>
                <w:hideMark/>
              </w:tcPr>
              <w:p>
                <w:pPr>
                  <w:rPr>
                    <w:sz w:val="20"/>
                    <w:lang w:eastAsia="lt-LT"/>
                  </w:rPr>
                </w:pPr>
              </w:p>
            </w:tc>
            <w:tc>
              <w:tcPr>
                <w:tcW w:w="8740" w:type="dxa"/>
                <w:gridSpan w:val="4"/>
                <w:tcBorders>
                  <w:top w:val="nil"/>
                  <w:left w:val="nil"/>
                  <w:bottom w:val="nil"/>
                  <w:right w:val="nil"/>
                </w:tcBorders>
                <w:shd w:val="clear" w:color="auto" w:fill="auto"/>
                <w:noWrap/>
                <w:vAlign w:val="bottom"/>
                <w:hideMark/>
              </w:tcPr>
              <w:p>
                <w:pPr>
                  <w:rPr>
                    <w:color w:val="000000"/>
                    <w:szCs w:val="24"/>
                    <w:lang w:eastAsia="lt-LT"/>
                  </w:rPr>
                </w:pPr>
                <w:r>
                  <w:rPr>
                    <w:color w:val="000000"/>
                    <w:szCs w:val="24"/>
                    <w:lang w:eastAsia="lt-LT"/>
                  </w:rPr>
                  <w:t>Mokesčių mokėtojas ____________________</w:t>
                </w:r>
              </w:p>
            </w:tc>
          </w:tr>
          <w:tr>
            <w:trPr>
              <w:trHeight w:val="330"/>
            </w:trPr>
            <w:tc>
              <w:tcPr>
                <w:tcW w:w="284" w:type="dxa"/>
                <w:tcBorders>
                  <w:top w:val="nil"/>
                  <w:left w:val="nil"/>
                  <w:bottom w:val="nil"/>
                  <w:right w:val="nil"/>
                </w:tcBorders>
                <w:shd w:val="clear" w:color="auto" w:fill="auto"/>
                <w:noWrap/>
                <w:vAlign w:val="bottom"/>
                <w:hideMark/>
              </w:tcPr>
              <w:p>
                <w:pPr>
                  <w:rPr>
                    <w:color w:val="000000"/>
                    <w:szCs w:val="24"/>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jc w:val="center"/>
                  <w:rPr>
                    <w:sz w:val="16"/>
                    <w:szCs w:val="16"/>
                    <w:lang w:eastAsia="lt-LT"/>
                  </w:rPr>
                </w:pPr>
                <w:r>
                  <w:rPr>
                    <w:sz w:val="16"/>
                    <w:szCs w:val="16"/>
                    <w:lang w:eastAsia="lt-LT"/>
                  </w:rPr>
                  <w:t>(vardas, pavardė)</w:t>
                </w:r>
              </w:p>
            </w:tc>
            <w:tc>
              <w:tcPr>
                <w:tcW w:w="220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r>
          <w:tr>
            <w:trPr>
              <w:trHeight w:val="330"/>
            </w:trPr>
            <w:tc>
              <w:tcPr>
                <w:tcW w:w="284"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c>
              <w:tcPr>
                <w:tcW w:w="2200"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nil"/>
                  <w:right w:val="nil"/>
                </w:tcBorders>
                <w:shd w:val="clear" w:color="auto" w:fill="auto"/>
                <w:noWrap/>
                <w:vAlign w:val="bottom"/>
                <w:hideMark/>
              </w:tcPr>
              <w:p>
                <w:pPr>
                  <w:rPr>
                    <w:sz w:val="20"/>
                    <w:lang w:eastAsia="lt-LT"/>
                  </w:rPr>
                </w:pPr>
              </w:p>
            </w:tc>
          </w:tr>
          <w:tr>
            <w:trPr>
              <w:trHeight w:val="525"/>
            </w:trPr>
            <w:tc>
              <w:tcPr>
                <w:tcW w:w="284" w:type="dxa"/>
                <w:tcBorders>
                  <w:top w:val="nil"/>
                  <w:left w:val="nil"/>
                  <w:bottom w:val="nil"/>
                  <w:right w:val="nil"/>
                </w:tcBorders>
                <w:shd w:val="clear" w:color="auto" w:fill="auto"/>
                <w:noWrap/>
                <w:vAlign w:val="bottom"/>
                <w:hideMark/>
              </w:tcPr>
              <w:p>
                <w:pPr>
                  <w:rPr>
                    <w:sz w:val="20"/>
                    <w:lang w:eastAsia="lt-LT"/>
                  </w:rPr>
                </w:pPr>
              </w:p>
            </w:tc>
            <w:tc>
              <w:tcPr>
                <w:tcW w:w="8740" w:type="dxa"/>
                <w:gridSpan w:val="4"/>
                <w:tcBorders>
                  <w:top w:val="nil"/>
                  <w:left w:val="nil"/>
                  <w:bottom w:val="nil"/>
                  <w:right w:val="nil"/>
                </w:tcBorders>
                <w:shd w:val="clear" w:color="auto" w:fill="auto"/>
                <w:vAlign w:val="center"/>
                <w:hideMark/>
              </w:tcPr>
              <w:p>
                <w:pPr>
                  <w:jc w:val="center"/>
                  <w:rPr>
                    <w:b/>
                    <w:bCs/>
                    <w:color w:val="000000"/>
                    <w:szCs w:val="24"/>
                    <w:lang w:eastAsia="lt-LT"/>
                  </w:rPr>
                </w:pPr>
                <w:r>
                  <w:rPr>
                    <w:b/>
                    <w:bCs/>
                    <w:color w:val="000000"/>
                    <w:szCs w:val="24"/>
                    <w:lang w:eastAsia="lt-LT"/>
                  </w:rPr>
                  <w:t>PAJAMOS IR IŠLAIDOS PER PASKUTINIUS 3 MĖNESIUS</w:t>
                </w:r>
              </w:p>
            </w:tc>
          </w:tr>
          <w:tr>
            <w:trPr>
              <w:trHeight w:val="330"/>
            </w:trPr>
            <w:tc>
              <w:tcPr>
                <w:tcW w:w="284" w:type="dxa"/>
                <w:tcBorders>
                  <w:top w:val="nil"/>
                  <w:left w:val="nil"/>
                  <w:bottom w:val="nil"/>
                  <w:right w:val="nil"/>
                </w:tcBorders>
                <w:shd w:val="clear" w:color="auto" w:fill="auto"/>
                <w:noWrap/>
                <w:vAlign w:val="bottom"/>
                <w:hideMark/>
              </w:tcPr>
              <w:p>
                <w:pPr>
                  <w:rPr>
                    <w:sz w:val="20"/>
                    <w:lang w:eastAsia="lt-LT"/>
                  </w:rPr>
                </w:pPr>
              </w:p>
            </w:tc>
            <w:tc>
              <w:tcPr>
                <w:tcW w:w="2180" w:type="dxa"/>
                <w:tcBorders>
                  <w:top w:val="nil"/>
                  <w:left w:val="nil"/>
                  <w:bottom w:val="single" w:sz="4" w:space="0" w:color="auto"/>
                  <w:right w:val="nil"/>
                </w:tcBorders>
                <w:shd w:val="clear" w:color="auto" w:fill="auto"/>
                <w:noWrap/>
                <w:vAlign w:val="bottom"/>
                <w:hideMark/>
              </w:tcPr>
              <w:p>
                <w:pPr>
                  <w:rPr>
                    <w:sz w:val="20"/>
                    <w:lang w:eastAsia="lt-LT"/>
                  </w:rPr>
                </w:pPr>
              </w:p>
            </w:tc>
            <w:tc>
              <w:tcPr>
                <w:tcW w:w="2180" w:type="dxa"/>
                <w:tcBorders>
                  <w:top w:val="nil"/>
                  <w:left w:val="nil"/>
                  <w:bottom w:val="single" w:sz="4" w:space="0" w:color="auto"/>
                  <w:right w:val="nil"/>
                </w:tcBorders>
                <w:shd w:val="clear" w:color="auto" w:fill="auto"/>
                <w:noWrap/>
                <w:vAlign w:val="bottom"/>
                <w:hideMark/>
              </w:tcPr>
              <w:p>
                <w:pPr>
                  <w:rPr>
                    <w:sz w:val="20"/>
                    <w:lang w:eastAsia="lt-LT"/>
                  </w:rPr>
                </w:pPr>
              </w:p>
            </w:tc>
            <w:tc>
              <w:tcPr>
                <w:tcW w:w="2200" w:type="dxa"/>
                <w:tcBorders>
                  <w:top w:val="nil"/>
                  <w:left w:val="nil"/>
                  <w:bottom w:val="single" w:sz="4" w:space="0" w:color="auto"/>
                  <w:right w:val="nil"/>
                </w:tcBorders>
                <w:shd w:val="clear" w:color="auto" w:fill="auto"/>
                <w:noWrap/>
                <w:vAlign w:val="bottom"/>
                <w:hideMark/>
              </w:tcPr>
              <w:p>
                <w:pPr>
                  <w:rPr>
                    <w:sz w:val="20"/>
                    <w:lang w:eastAsia="lt-LT"/>
                  </w:rPr>
                </w:pPr>
              </w:p>
            </w:tc>
            <w:tc>
              <w:tcPr>
                <w:tcW w:w="2180" w:type="dxa"/>
                <w:tcBorders>
                  <w:top w:val="nil"/>
                  <w:left w:val="nil"/>
                  <w:bottom w:val="single" w:sz="4" w:space="0" w:color="auto"/>
                  <w:right w:val="nil"/>
                </w:tcBorders>
                <w:shd w:val="clear" w:color="auto" w:fill="auto"/>
                <w:noWrap/>
                <w:vAlign w:val="bottom"/>
                <w:hideMark/>
              </w:tcPr>
              <w:p>
                <w:pPr>
                  <w:jc w:val="right"/>
                  <w:rPr>
                    <w:strike/>
                    <w:color w:val="000000"/>
                    <w:szCs w:val="24"/>
                    <w:lang w:eastAsia="lt-LT"/>
                  </w:rPr>
                </w:pPr>
              </w:p>
            </w:tc>
          </w:tr>
          <w:tr>
            <w:trPr>
              <w:trHeight w:val="750"/>
            </w:trPr>
            <w:tc>
              <w:tcPr>
                <w:tcW w:w="284" w:type="dxa"/>
                <w:tcBorders>
                  <w:top w:val="nil"/>
                  <w:left w:val="nil"/>
                  <w:bottom w:val="nil"/>
                  <w:right w:val="nil"/>
                </w:tcBorders>
                <w:shd w:val="clear" w:color="auto" w:fill="auto"/>
                <w:noWrap/>
                <w:vAlign w:val="bottom"/>
                <w:hideMark/>
              </w:tcPr>
              <w:p>
                <w:pPr>
                  <w:jc w:val="right"/>
                  <w:rPr>
                    <w:color w:val="000000"/>
                    <w:szCs w:val="24"/>
                    <w:lang w:eastAsia="lt-LT"/>
                  </w:rPr>
                </w:pPr>
              </w:p>
            </w:tc>
            <w:tc>
              <w:tcPr>
                <w:tcW w:w="2180" w:type="dxa"/>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Laikotarpis (mėnesiais)</w:t>
                </w:r>
              </w:p>
            </w:tc>
            <w:tc>
              <w:tcPr>
                <w:tcW w:w="2180" w:type="dxa"/>
                <w:tcBorders>
                  <w:top w:val="single" w:sz="4" w:space="0" w:color="auto"/>
                  <w:left w:val="nil"/>
                  <w:bottom w:val="single" w:sz="4" w:space="0" w:color="auto"/>
                  <w:right w:val="single" w:sz="4" w:space="0" w:color="auto"/>
                </w:tcBorders>
                <w:shd w:val="clear" w:color="auto" w:fill="auto"/>
                <w:noWrap/>
                <w:vAlign w:val="center"/>
                <w:hideMark/>
              </w:tcPr>
              <w:p>
                <w:pPr>
                  <w:jc w:val="center"/>
                  <w:rPr>
                    <w:color w:val="000000"/>
                    <w:szCs w:val="24"/>
                    <w:lang w:eastAsia="lt-LT"/>
                  </w:rPr>
                </w:pPr>
                <w:r>
                  <w:rPr>
                    <w:color w:val="000000"/>
                    <w:szCs w:val="24"/>
                    <w:lang w:eastAsia="lt-LT"/>
                  </w:rPr>
                  <w:t>Pajamų suma, Eur</w:t>
                </w:r>
              </w:p>
            </w:tc>
            <w:tc>
              <w:tcPr>
                <w:tcW w:w="2200"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lang w:eastAsia="lt-LT"/>
                  </w:rPr>
                </w:pPr>
                <w:r>
                  <w:rPr>
                    <w:color w:val="000000"/>
                    <w:szCs w:val="24"/>
                    <w:lang w:eastAsia="lt-LT"/>
                  </w:rPr>
                  <w:t>Išlaidų (leidžiamų atskaitymų) suma, Eur</w:t>
                </w:r>
              </w:p>
            </w:tc>
            <w:tc>
              <w:tcPr>
                <w:tcW w:w="2180" w:type="dxa"/>
                <w:tcBorders>
                  <w:top w:val="single" w:sz="4" w:space="0" w:color="auto"/>
                  <w:left w:val="nil"/>
                  <w:bottom w:val="single" w:sz="4" w:space="0" w:color="auto"/>
                  <w:right w:val="single" w:sz="4" w:space="0" w:color="auto"/>
                </w:tcBorders>
                <w:shd w:val="clear" w:color="auto" w:fill="auto"/>
                <w:noWrap/>
                <w:vAlign w:val="center"/>
                <w:hideMark/>
              </w:tcPr>
              <w:p>
                <w:pPr>
                  <w:jc w:val="center"/>
                  <w:rPr>
                    <w:color w:val="000000"/>
                    <w:szCs w:val="24"/>
                    <w:lang w:eastAsia="lt-LT"/>
                  </w:rPr>
                </w:pPr>
                <w:r>
                  <w:rPr>
                    <w:color w:val="000000"/>
                    <w:szCs w:val="24"/>
                    <w:lang w:eastAsia="lt-LT"/>
                  </w:rPr>
                  <w:t>Rezultatas (+ -), Eur</w:t>
                </w:r>
              </w:p>
            </w:tc>
          </w:tr>
          <w:tr>
            <w:trPr>
              <w:trHeight w:val="330"/>
            </w:trPr>
            <w:tc>
              <w:tcPr>
                <w:tcW w:w="284" w:type="dxa"/>
                <w:tcBorders>
                  <w:top w:val="nil"/>
                  <w:left w:val="nil"/>
                  <w:bottom w:val="nil"/>
                  <w:right w:val="nil"/>
                </w:tcBorders>
                <w:shd w:val="clear" w:color="auto" w:fill="auto"/>
                <w:noWrap/>
                <w:vAlign w:val="bottom"/>
                <w:hideMark/>
              </w:tcPr>
              <w:p>
                <w:pPr>
                  <w:jc w:val="center"/>
                  <w:rPr>
                    <w:color w:val="000000"/>
                    <w:szCs w:val="24"/>
                    <w:lang w:eastAsia="lt-LT"/>
                  </w:rPr>
                </w:pP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trHeight w:val="330"/>
            </w:trPr>
            <w:tc>
              <w:tcPr>
                <w:tcW w:w="284" w:type="dxa"/>
                <w:tcBorders>
                  <w:top w:val="nil"/>
                  <w:left w:val="nil"/>
                  <w:bottom w:val="nil"/>
                  <w:right w:val="nil"/>
                </w:tcBorders>
                <w:shd w:val="clear" w:color="auto" w:fill="auto"/>
                <w:noWrap/>
                <w:vAlign w:val="bottom"/>
                <w:hideMark/>
              </w:tcPr>
              <w:p>
                <w:pPr>
                  <w:rPr>
                    <w:color w:val="000000"/>
                    <w:szCs w:val="24"/>
                    <w:lang w:eastAsia="lt-LT"/>
                  </w:rPr>
                </w:pP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trHeight w:val="330"/>
            </w:trPr>
            <w:tc>
              <w:tcPr>
                <w:tcW w:w="284" w:type="dxa"/>
                <w:tcBorders>
                  <w:top w:val="nil"/>
                  <w:left w:val="nil"/>
                  <w:bottom w:val="nil"/>
                  <w:right w:val="nil"/>
                </w:tcBorders>
                <w:shd w:val="clear" w:color="auto" w:fill="auto"/>
                <w:noWrap/>
                <w:vAlign w:val="bottom"/>
                <w:hideMark/>
              </w:tcPr>
              <w:p>
                <w:pPr>
                  <w:rPr>
                    <w:color w:val="000000"/>
                    <w:szCs w:val="24"/>
                    <w:lang w:eastAsia="lt-LT"/>
                  </w:rPr>
                </w:pP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ind w:firstLine="62"/>
                  <w:rPr>
                    <w:color w:val="000000"/>
                    <w:szCs w:val="24"/>
                    <w:lang w:eastAsia="lt-LT"/>
                  </w:rPr>
                </w:pPr>
              </w:p>
            </w:tc>
          </w:tr>
          <w:tr>
            <w:trPr>
              <w:trHeight w:val="330"/>
            </w:trPr>
            <w:tc>
              <w:tcPr>
                <w:tcW w:w="284" w:type="dxa"/>
                <w:tcBorders>
                  <w:top w:val="nil"/>
                  <w:left w:val="nil"/>
                  <w:bottom w:val="nil"/>
                  <w:right w:val="nil"/>
                </w:tcBorders>
                <w:shd w:val="clear" w:color="auto" w:fill="auto"/>
                <w:noWrap/>
                <w:vAlign w:val="bottom"/>
                <w:hideMark/>
              </w:tcPr>
              <w:p>
                <w:pPr>
                  <w:rPr>
                    <w:color w:val="000000"/>
                    <w:szCs w:val="24"/>
                    <w:lang w:eastAsia="lt-LT"/>
                  </w:rPr>
                </w:pP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Iš viso:</w:t>
                </w: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0</w:t>
                </w:r>
              </w:p>
            </w:tc>
          </w:tr>
        </w:tbl>
        <w:p>
          <w:pPr>
            <w:ind w:firstLine="680"/>
            <w:jc w:val="center"/>
          </w:pPr>
        </w:p>
        <w:sdt>
          <w:sdtPr>
            <w:alias w:val="pabaiga"/>
            <w:tag w:val="part_16485b7e1b9441e3bcf76c396076ef69"/>
            <w:lock w:val="sdtLocked"/>
            <w:richText/>
          </w:sdtPr>
          <w:sdtContent>
            <w:p>
              <w:pPr>
                <w:jc w:val="center"/>
              </w:pPr>
              <w:r>
                <w:t>_____________________</w:t>
              </w:r>
            </w:p>
          </w:sdtContent>
        </w:sdt>
      </w:sdtContent>
    </w:sdt>
    <w:sdt>
      <w:sdtPr>
        <w:alias w:val="4 pr."/>
        <w:tag w:val="part_3d5e1539f77d4939a18ff9e20f183d61"/>
        <w:lock w:val="sdtLocked"/>
        <w:richText/>
      </w:sdtPr>
      <w:sdtContent>
        <w:p>
          <w:pPr>
            <w:tabs>
              <w:tab w:val="left" w:pos="7655"/>
            </w:tabs>
            <w:jc w:val="both"/>
            <w:rPr>
              <w:szCs w:val="24"/>
            </w:rPr>
          </w:pPr>
        </w:p>
        <w:p>
          <w:pPr>
            <w:tabs>
              <w:tab w:val="left" w:pos="7655"/>
            </w:tabs>
            <w:jc w:val="both"/>
            <w:sectPr>
              <w:headerReference w:type="even" r:id="rId14"/>
              <w:headerReference w:type="default" r:id="rId15"/>
              <w:footerReference w:type="even" r:id="rId16"/>
              <w:footerReference w:type="default" r:id="rId17"/>
              <w:headerReference w:type="first" r:id="rId18"/>
              <w:footerReference w:type="first" r:id="rId19"/>
              <w:pgSz w:w="11907" w:h="16840" w:code="9"/>
              <w:pgMar w:top="1134" w:right="567" w:bottom="1134" w:left="1701" w:header="567" w:footer="567" w:gutter="0"/>
              <w:pgNumType w:start="1"/>
              <w:cols w:space="1296"/>
              <w:titlePg/>
              <w:docGrid w:linePitch="326"/>
            </w:sectPr>
          </w:pPr>
        </w:p>
        <w:tbl>
          <w:tblPr>
            <w:tblW w:w="15117" w:type="dxa"/>
            <w:tblLook w:val="04A0" w:firstRow="1" w:lastRow="0" w:firstColumn="1" w:lastColumn="0" w:noHBand="0" w:noVBand="1"/>
          </w:tblPr>
          <w:tblGrid>
            <w:gridCol w:w="10"/>
            <w:gridCol w:w="528"/>
            <w:gridCol w:w="360"/>
            <w:gridCol w:w="1980"/>
            <w:gridCol w:w="1040"/>
            <w:gridCol w:w="680"/>
            <w:gridCol w:w="889"/>
            <w:gridCol w:w="620"/>
            <w:gridCol w:w="817"/>
            <w:gridCol w:w="763"/>
            <w:gridCol w:w="654"/>
            <w:gridCol w:w="866"/>
            <w:gridCol w:w="550"/>
            <w:gridCol w:w="1170"/>
            <w:gridCol w:w="170"/>
            <w:gridCol w:w="1340"/>
            <w:gridCol w:w="1340"/>
            <w:gridCol w:w="1163"/>
            <w:gridCol w:w="177"/>
          </w:tblGrid>
          <w:tr>
            <w:trPr>
              <w:trHeight w:val="315"/>
            </w:trPr>
            <w:tc>
              <w:tcPr>
                <w:tcW w:w="898" w:type="dxa"/>
                <w:gridSpan w:val="3"/>
                <w:tcBorders>
                  <w:top w:val="nil"/>
                  <w:left w:val="nil"/>
                  <w:bottom w:val="nil"/>
                  <w:right w:val="nil"/>
                </w:tcBorders>
                <w:shd w:val="clear" w:color="auto" w:fill="auto"/>
                <w:noWrap/>
                <w:vAlign w:val="bottom"/>
                <w:hideMark/>
              </w:tcPr>
              <w:p>
                <w:pPr>
                  <w:tabs>
                    <w:tab w:val="center" w:pos="4819"/>
                    <w:tab w:val="right" w:pos="9638"/>
                  </w:tabs>
                </w:pPr>
              </w:p>
              <w:p>
                <w:pPr>
                  <w:tabs>
                    <w:tab w:val="center" w:pos="4680"/>
                    <w:tab w:val="right" w:pos="9360"/>
                  </w:tabs>
                  <w:jc w:val="center"/>
                  <w:rPr>
                    <w:sz w:val="22"/>
                    <w:szCs w:val="22"/>
                    <w:lang w:eastAsia="lt-LT"/>
                  </w:rPr>
                </w:pPr>
              </w:p>
              <w:p>
                <w:pPr>
                  <w:tabs>
                    <w:tab w:val="center" w:pos="4680"/>
                    <w:tab w:val="right" w:pos="9360"/>
                  </w:tabs>
                  <w:rPr>
                    <w:sz w:val="22"/>
                    <w:szCs w:val="22"/>
                    <w:lang w:eastAsia="lt-LT"/>
                  </w:rPr>
                </w:pPr>
              </w:p>
              <w:p>
                <w:pPr>
                  <w:rPr>
                    <w:szCs w:val="24"/>
                    <w:lang w:eastAsia="lt-LT"/>
                  </w:rPr>
                </w:pPr>
              </w:p>
            </w:tc>
            <w:tc>
              <w:tcPr>
                <w:tcW w:w="3020" w:type="dxa"/>
                <w:gridSpan w:val="2"/>
                <w:tcBorders>
                  <w:top w:val="nil"/>
                  <w:left w:val="nil"/>
                  <w:bottom w:val="nil"/>
                  <w:right w:val="nil"/>
                </w:tcBorders>
                <w:shd w:val="clear" w:color="auto" w:fill="auto"/>
                <w:noWrap/>
                <w:vAlign w:val="bottom"/>
                <w:hideMark/>
              </w:tcPr>
              <w:p>
                <w:pPr>
                  <w:rPr>
                    <w:sz w:val="20"/>
                    <w:lang w:eastAsia="lt-LT"/>
                  </w:rPr>
                </w:pPr>
              </w:p>
            </w:tc>
            <w:tc>
              <w:tcPr>
                <w:tcW w:w="1569" w:type="dxa"/>
                <w:gridSpan w:val="2"/>
                <w:tcBorders>
                  <w:top w:val="nil"/>
                  <w:left w:val="nil"/>
                  <w:bottom w:val="nil"/>
                  <w:right w:val="nil"/>
                </w:tcBorders>
                <w:shd w:val="clear" w:color="auto" w:fill="auto"/>
                <w:noWrap/>
                <w:vAlign w:val="bottom"/>
                <w:hideMark/>
              </w:tcPr>
              <w:p>
                <w:pPr>
                  <w:rPr>
                    <w:sz w:val="20"/>
                    <w:lang w:eastAsia="lt-LT"/>
                  </w:rPr>
                </w:pPr>
              </w:p>
            </w:tc>
            <w:tc>
              <w:tcPr>
                <w:tcW w:w="1437" w:type="dxa"/>
                <w:gridSpan w:val="2"/>
                <w:tcBorders>
                  <w:top w:val="nil"/>
                  <w:left w:val="nil"/>
                  <w:bottom w:val="nil"/>
                  <w:right w:val="nil"/>
                </w:tcBorders>
                <w:shd w:val="clear" w:color="auto" w:fill="auto"/>
                <w:noWrap/>
                <w:vAlign w:val="bottom"/>
                <w:hideMark/>
              </w:tcPr>
              <w:p>
                <w:pPr>
                  <w:rPr>
                    <w:sz w:val="20"/>
                    <w:lang w:eastAsia="lt-LT"/>
                  </w:rPr>
                </w:pPr>
              </w:p>
            </w:tc>
            <w:tc>
              <w:tcPr>
                <w:tcW w:w="1417" w:type="dxa"/>
                <w:gridSpan w:val="2"/>
                <w:tcBorders>
                  <w:top w:val="nil"/>
                  <w:left w:val="nil"/>
                  <w:bottom w:val="nil"/>
                  <w:right w:val="nil"/>
                </w:tcBorders>
                <w:shd w:val="clear" w:color="auto" w:fill="auto"/>
                <w:noWrap/>
                <w:vAlign w:val="bottom"/>
                <w:hideMark/>
              </w:tcPr>
              <w:p>
                <w:pPr>
                  <w:rPr>
                    <w:sz w:val="20"/>
                    <w:lang w:eastAsia="lt-LT"/>
                  </w:rPr>
                </w:pPr>
              </w:p>
            </w:tc>
            <w:tc>
              <w:tcPr>
                <w:tcW w:w="1416" w:type="dxa"/>
                <w:gridSpan w:val="2"/>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c>
              <w:tcPr>
                <w:tcW w:w="4020" w:type="dxa"/>
                <w:gridSpan w:val="4"/>
                <w:tcBorders>
                  <w:top w:val="nil"/>
                  <w:left w:val="nil"/>
                  <w:bottom w:val="nil"/>
                  <w:right w:val="nil"/>
                </w:tcBorders>
                <w:shd w:val="clear" w:color="auto" w:fill="auto"/>
                <w:noWrap/>
                <w:vAlign w:val="bottom"/>
                <w:hideMark/>
              </w:tcPr>
              <w:p>
                <w:pPr>
                  <w:rPr>
                    <w:color w:val="000000"/>
                    <w:szCs w:val="24"/>
                    <w:lang w:eastAsia="lt-LT"/>
                  </w:rPr>
                </w:pPr>
                <w:r>
                  <w:rPr>
                    <w:color w:val="000000"/>
                    <w:szCs w:val="24"/>
                    <w:lang w:eastAsia="lt-LT"/>
                  </w:rPr>
                  <w:t xml:space="preserve">Mokestinės nepriemokos ar baudos už administracinį nusižengimą mokėjimo atidėjimo ir (ar) išdėstymo taisyklių </w:t>
                </w:r>
              </w:p>
              <w:p>
                <w:pPr>
                  <w:rPr>
                    <w:color w:val="000000"/>
                    <w:szCs w:val="24"/>
                    <w:lang w:eastAsia="lt-LT"/>
                  </w:rPr>
                </w:pPr>
                <w:r>
                  <w:rPr>
                    <w:color w:val="000000"/>
                    <w:szCs w:val="24"/>
                    <w:lang w:eastAsia="lt-LT"/>
                  </w:rPr>
                  <w:t>4 priedas</w:t>
                </w:r>
              </w:p>
            </w:tc>
          </w:tr>
          <w:tr>
            <w:trPr>
              <w:trHeight w:val="315"/>
            </w:trPr>
            <w:tc>
              <w:tcPr>
                <w:tcW w:w="898" w:type="dxa"/>
                <w:gridSpan w:val="3"/>
                <w:tcBorders>
                  <w:top w:val="nil"/>
                  <w:left w:val="nil"/>
                  <w:bottom w:val="nil"/>
                  <w:right w:val="nil"/>
                </w:tcBorders>
                <w:shd w:val="clear" w:color="auto" w:fill="auto"/>
                <w:noWrap/>
                <w:vAlign w:val="bottom"/>
                <w:hideMark/>
              </w:tcPr>
              <w:p>
                <w:pPr>
                  <w:rPr>
                    <w:color w:val="000000"/>
                    <w:szCs w:val="24"/>
                    <w:lang w:eastAsia="lt-LT"/>
                  </w:rPr>
                </w:pPr>
              </w:p>
            </w:tc>
            <w:tc>
              <w:tcPr>
                <w:tcW w:w="14219" w:type="dxa"/>
                <w:gridSpan w:val="16"/>
                <w:tcBorders>
                  <w:top w:val="nil"/>
                  <w:left w:val="nil"/>
                  <w:bottom w:val="nil"/>
                </w:tcBorders>
                <w:shd w:val="clear" w:color="auto" w:fill="auto"/>
                <w:noWrap/>
                <w:vAlign w:val="bottom"/>
                <w:hideMark/>
              </w:tcPr>
              <w:p>
                <w:pPr>
                  <w:jc w:val="center"/>
                  <w:rPr>
                    <w:szCs w:val="24"/>
                    <w:lang w:eastAsia="lt-LT"/>
                  </w:rPr>
                </w:pPr>
              </w:p>
              <w:p>
                <w:pPr>
                  <w:jc w:val="center"/>
                  <w:rPr>
                    <w:szCs w:val="24"/>
                  </w:rPr>
                </w:pPr>
                <w:r>
                  <w:rPr>
                    <w:b/>
                    <w:szCs w:val="24"/>
                  </w:rPr>
                  <w:t>(</w:t>
                </w:r>
                <w:r>
                  <w:rPr>
                    <w:b/>
                    <w:bCs/>
                    <w:color w:val="000000"/>
                    <w:szCs w:val="24"/>
                    <w:lang w:eastAsia="lt-LT"/>
                  </w:rPr>
                  <w:t>Informacijos apie gautas paskolas iš kredito įstaigų, lizingo bendrovių, kitų finansų įstaigų, juridinių bei fizinių asmenų formos pavyzdys</w:t>
                </w:r>
                <w:r>
                  <w:rPr>
                    <w:b/>
                    <w:szCs w:val="24"/>
                  </w:rPr>
                  <w:t>)</w:t>
                </w:r>
              </w:p>
              <w:p>
                <w:pPr>
                  <w:jc w:val="center"/>
                  <w:rPr>
                    <w:sz w:val="20"/>
                    <w:lang w:eastAsia="lt-LT"/>
                  </w:rPr>
                </w:pPr>
              </w:p>
            </w:tc>
          </w:tr>
          <w:tr>
            <w:trPr>
              <w:trHeight w:val="315"/>
            </w:trPr>
            <w:tc>
              <w:tcPr>
                <w:tcW w:w="898" w:type="dxa"/>
                <w:gridSpan w:val="3"/>
                <w:tcBorders>
                  <w:top w:val="nil"/>
                  <w:left w:val="nil"/>
                  <w:bottom w:val="nil"/>
                  <w:right w:val="nil"/>
                </w:tcBorders>
                <w:shd w:val="clear" w:color="auto" w:fill="auto"/>
                <w:noWrap/>
                <w:vAlign w:val="bottom"/>
                <w:hideMark/>
              </w:tcPr>
              <w:p>
                <w:pPr>
                  <w:rPr>
                    <w:sz w:val="20"/>
                    <w:lang w:eastAsia="lt-LT"/>
                  </w:rPr>
                </w:pPr>
              </w:p>
            </w:tc>
            <w:tc>
              <w:tcPr>
                <w:tcW w:w="8859" w:type="dxa"/>
                <w:gridSpan w:val="10"/>
                <w:tcBorders>
                  <w:top w:val="nil"/>
                  <w:left w:val="nil"/>
                  <w:bottom w:val="nil"/>
                  <w:right w:val="nil"/>
                </w:tcBorders>
                <w:shd w:val="clear" w:color="auto" w:fill="auto"/>
                <w:noWrap/>
                <w:vAlign w:val="bottom"/>
                <w:hideMark/>
              </w:tcPr>
              <w:p>
                <w:pPr>
                  <w:rPr>
                    <w:color w:val="000000"/>
                    <w:szCs w:val="24"/>
                    <w:lang w:eastAsia="lt-LT"/>
                  </w:rPr>
                </w:pPr>
                <w:r>
                  <w:rPr>
                    <w:color w:val="000000"/>
                    <w:szCs w:val="24"/>
                    <w:lang w:eastAsia="lt-LT"/>
                  </w:rPr>
                  <w:t>_________________________________</w:t>
                </w:r>
              </w:p>
            </w:tc>
            <w:tc>
              <w:tcPr>
                <w:tcW w:w="1340" w:type="dxa"/>
                <w:gridSpan w:val="2"/>
                <w:tcBorders>
                  <w:top w:val="nil"/>
                  <w:left w:val="nil"/>
                  <w:bottom w:val="nil"/>
                  <w:right w:val="nil"/>
                </w:tcBorders>
                <w:shd w:val="clear" w:color="auto" w:fill="auto"/>
                <w:noWrap/>
                <w:vAlign w:val="bottom"/>
                <w:hideMark/>
              </w:tcPr>
              <w:p>
                <w:pPr>
                  <w:rPr>
                    <w:color w:val="000000"/>
                    <w:szCs w:val="24"/>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r>
          <w:tr>
            <w:trPr>
              <w:trHeight w:val="315"/>
            </w:trPr>
            <w:tc>
              <w:tcPr>
                <w:tcW w:w="898" w:type="dxa"/>
                <w:gridSpan w:val="3"/>
                <w:tcBorders>
                  <w:top w:val="nil"/>
                  <w:left w:val="nil"/>
                  <w:bottom w:val="nil"/>
                  <w:right w:val="nil"/>
                </w:tcBorders>
                <w:shd w:val="clear" w:color="auto" w:fill="auto"/>
                <w:noWrap/>
                <w:vAlign w:val="bottom"/>
                <w:hideMark/>
              </w:tcPr>
              <w:p>
                <w:pPr>
                  <w:rPr>
                    <w:sz w:val="20"/>
                    <w:lang w:eastAsia="lt-LT"/>
                  </w:rPr>
                </w:pPr>
              </w:p>
            </w:tc>
            <w:tc>
              <w:tcPr>
                <w:tcW w:w="4589" w:type="dxa"/>
                <w:gridSpan w:val="4"/>
                <w:tcBorders>
                  <w:top w:val="nil"/>
                  <w:left w:val="nil"/>
                  <w:bottom w:val="nil"/>
                  <w:right w:val="nil"/>
                </w:tcBorders>
                <w:shd w:val="clear" w:color="auto" w:fill="auto"/>
                <w:noWrap/>
                <w:vAlign w:val="bottom"/>
                <w:hideMark/>
              </w:tcPr>
              <w:p>
                <w:pPr>
                  <w:rPr>
                    <w:sz w:val="20"/>
                    <w:lang w:eastAsia="lt-LT"/>
                  </w:rPr>
                </w:pPr>
                <w:r>
                  <w:rPr>
                    <w:color w:val="000000"/>
                    <w:sz w:val="16"/>
                  </w:rPr>
                  <w:t>(mokesčių mokėtojo pavadinimas arba vardas, pavardė)</w:t>
                </w:r>
              </w:p>
            </w:tc>
            <w:tc>
              <w:tcPr>
                <w:tcW w:w="1437" w:type="dxa"/>
                <w:gridSpan w:val="2"/>
                <w:tcBorders>
                  <w:top w:val="nil"/>
                  <w:left w:val="nil"/>
                  <w:bottom w:val="nil"/>
                  <w:right w:val="nil"/>
                </w:tcBorders>
                <w:shd w:val="clear" w:color="auto" w:fill="auto"/>
                <w:noWrap/>
                <w:vAlign w:val="bottom"/>
                <w:hideMark/>
              </w:tcPr>
              <w:p>
                <w:pPr>
                  <w:rPr>
                    <w:sz w:val="20"/>
                    <w:lang w:eastAsia="lt-LT"/>
                  </w:rPr>
                </w:pPr>
              </w:p>
            </w:tc>
            <w:tc>
              <w:tcPr>
                <w:tcW w:w="1417" w:type="dxa"/>
                <w:gridSpan w:val="2"/>
                <w:tcBorders>
                  <w:top w:val="nil"/>
                  <w:left w:val="nil"/>
                  <w:bottom w:val="nil"/>
                  <w:right w:val="nil"/>
                </w:tcBorders>
                <w:shd w:val="clear" w:color="auto" w:fill="auto"/>
                <w:noWrap/>
                <w:vAlign w:val="bottom"/>
                <w:hideMark/>
              </w:tcPr>
              <w:p>
                <w:pPr>
                  <w:rPr>
                    <w:sz w:val="20"/>
                    <w:lang w:eastAsia="lt-LT"/>
                  </w:rPr>
                </w:pPr>
              </w:p>
            </w:tc>
            <w:tc>
              <w:tcPr>
                <w:tcW w:w="1416" w:type="dxa"/>
                <w:gridSpan w:val="2"/>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r>
          <w:tr>
            <w:trPr>
              <w:trHeight w:val="315"/>
            </w:trPr>
            <w:tc>
              <w:tcPr>
                <w:tcW w:w="898" w:type="dxa"/>
                <w:gridSpan w:val="3"/>
                <w:tcBorders>
                  <w:top w:val="nil"/>
                  <w:left w:val="nil"/>
                  <w:bottom w:val="nil"/>
                  <w:right w:val="nil"/>
                </w:tcBorders>
                <w:shd w:val="clear" w:color="auto" w:fill="auto"/>
                <w:noWrap/>
                <w:vAlign w:val="bottom"/>
                <w:hideMark/>
              </w:tcPr>
              <w:p>
                <w:pPr>
                  <w:rPr>
                    <w:sz w:val="20"/>
                    <w:lang w:eastAsia="lt-LT"/>
                  </w:rPr>
                </w:pPr>
              </w:p>
            </w:tc>
            <w:tc>
              <w:tcPr>
                <w:tcW w:w="3020" w:type="dxa"/>
                <w:gridSpan w:val="2"/>
                <w:tcBorders>
                  <w:top w:val="nil"/>
                  <w:left w:val="nil"/>
                  <w:bottom w:val="nil"/>
                  <w:right w:val="nil"/>
                </w:tcBorders>
                <w:shd w:val="clear" w:color="auto" w:fill="auto"/>
                <w:noWrap/>
                <w:vAlign w:val="bottom"/>
                <w:hideMark/>
              </w:tcPr>
              <w:p>
                <w:pPr>
                  <w:rPr>
                    <w:sz w:val="20"/>
                    <w:lang w:eastAsia="lt-LT"/>
                  </w:rPr>
                </w:pPr>
              </w:p>
            </w:tc>
            <w:tc>
              <w:tcPr>
                <w:tcW w:w="1569" w:type="dxa"/>
                <w:gridSpan w:val="2"/>
                <w:tcBorders>
                  <w:top w:val="nil"/>
                  <w:left w:val="nil"/>
                  <w:bottom w:val="nil"/>
                  <w:right w:val="nil"/>
                </w:tcBorders>
                <w:shd w:val="clear" w:color="auto" w:fill="auto"/>
                <w:noWrap/>
                <w:vAlign w:val="bottom"/>
                <w:hideMark/>
              </w:tcPr>
              <w:p>
                <w:pPr>
                  <w:rPr>
                    <w:sz w:val="20"/>
                    <w:lang w:eastAsia="lt-LT"/>
                  </w:rPr>
                </w:pPr>
              </w:p>
            </w:tc>
            <w:tc>
              <w:tcPr>
                <w:tcW w:w="1437" w:type="dxa"/>
                <w:gridSpan w:val="2"/>
                <w:tcBorders>
                  <w:top w:val="nil"/>
                  <w:left w:val="nil"/>
                  <w:bottom w:val="nil"/>
                  <w:right w:val="nil"/>
                </w:tcBorders>
                <w:shd w:val="clear" w:color="auto" w:fill="auto"/>
                <w:noWrap/>
                <w:vAlign w:val="bottom"/>
                <w:hideMark/>
              </w:tcPr>
              <w:p>
                <w:pPr>
                  <w:rPr>
                    <w:sz w:val="20"/>
                    <w:lang w:eastAsia="lt-LT"/>
                  </w:rPr>
                </w:pPr>
              </w:p>
            </w:tc>
            <w:tc>
              <w:tcPr>
                <w:tcW w:w="1417" w:type="dxa"/>
                <w:gridSpan w:val="2"/>
                <w:tcBorders>
                  <w:top w:val="nil"/>
                  <w:left w:val="nil"/>
                  <w:bottom w:val="nil"/>
                  <w:right w:val="nil"/>
                </w:tcBorders>
                <w:shd w:val="clear" w:color="auto" w:fill="auto"/>
                <w:noWrap/>
                <w:vAlign w:val="bottom"/>
                <w:hideMark/>
              </w:tcPr>
              <w:p>
                <w:pPr>
                  <w:rPr>
                    <w:sz w:val="20"/>
                    <w:lang w:eastAsia="lt-LT"/>
                  </w:rPr>
                </w:pPr>
              </w:p>
            </w:tc>
            <w:tc>
              <w:tcPr>
                <w:tcW w:w="1416" w:type="dxa"/>
                <w:gridSpan w:val="2"/>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r>
          <w:tr>
            <w:trPr>
              <w:trHeight w:val="420"/>
            </w:trPr>
            <w:tc>
              <w:tcPr>
                <w:tcW w:w="898" w:type="dxa"/>
                <w:gridSpan w:val="3"/>
                <w:tcBorders>
                  <w:top w:val="nil"/>
                  <w:left w:val="nil"/>
                  <w:bottom w:val="nil"/>
                  <w:right w:val="nil"/>
                </w:tcBorders>
                <w:shd w:val="clear" w:color="auto" w:fill="auto"/>
                <w:noWrap/>
                <w:vAlign w:val="bottom"/>
                <w:hideMark/>
              </w:tcPr>
              <w:p>
                <w:pPr>
                  <w:rPr>
                    <w:sz w:val="20"/>
                    <w:lang w:eastAsia="lt-LT"/>
                  </w:rPr>
                </w:pPr>
              </w:p>
            </w:tc>
            <w:tc>
              <w:tcPr>
                <w:tcW w:w="14219" w:type="dxa"/>
                <w:gridSpan w:val="16"/>
                <w:tcBorders>
                  <w:top w:val="nil"/>
                  <w:left w:val="nil"/>
                  <w:bottom w:val="nil"/>
                  <w:right w:val="nil"/>
                </w:tcBorders>
                <w:shd w:val="clear" w:color="auto" w:fill="auto"/>
                <w:noWrap/>
                <w:vAlign w:val="bottom"/>
                <w:hideMark/>
              </w:tcPr>
              <w:p>
                <w:pPr>
                  <w:jc w:val="center"/>
                  <w:rPr>
                    <w:b/>
                    <w:bCs/>
                    <w:color w:val="000000"/>
                    <w:szCs w:val="24"/>
                    <w:lang w:eastAsia="lt-LT"/>
                  </w:rPr>
                </w:pPr>
                <w:r>
                  <w:rPr>
                    <w:b/>
                    <w:bCs/>
                    <w:color w:val="000000"/>
                    <w:szCs w:val="24"/>
                    <w:lang w:eastAsia="lt-LT"/>
                  </w:rPr>
                  <w:t xml:space="preserve">INFORMACIJA APIE GAUTAS PASKOLAS IŠ KREDITO ĮSTAIGŲ, LIZINGO BENDROVIŲ, </w:t>
                </w:r>
                <w:r>
                  <w:rPr>
                    <w:b/>
                    <w:szCs w:val="24"/>
                  </w:rPr>
                  <w:t xml:space="preserve">KITŲ FINANSŲ ĮSTAIGŲ, </w:t>
                </w:r>
                <w:r>
                  <w:rPr>
                    <w:b/>
                    <w:bCs/>
                    <w:color w:val="000000"/>
                    <w:szCs w:val="24"/>
                    <w:lang w:eastAsia="lt-LT"/>
                  </w:rPr>
                  <w:t>JURIDINIŲ BEI FIZINIŲ ASMENŲ</w:t>
                </w:r>
              </w:p>
            </w:tc>
          </w:tr>
          <w:tr>
            <w:trPr>
              <w:trHeight w:val="420"/>
            </w:trPr>
            <w:tc>
              <w:tcPr>
                <w:tcW w:w="898" w:type="dxa"/>
                <w:gridSpan w:val="3"/>
                <w:tcBorders>
                  <w:top w:val="nil"/>
                  <w:left w:val="nil"/>
                  <w:bottom w:val="nil"/>
                  <w:right w:val="nil"/>
                </w:tcBorders>
                <w:shd w:val="clear" w:color="auto" w:fill="auto"/>
                <w:noWrap/>
                <w:vAlign w:val="bottom"/>
                <w:hideMark/>
              </w:tcPr>
              <w:p>
                <w:pPr>
                  <w:jc w:val="center"/>
                  <w:rPr>
                    <w:b/>
                    <w:bCs/>
                    <w:color w:val="000000"/>
                    <w:szCs w:val="24"/>
                    <w:lang w:eastAsia="lt-LT"/>
                  </w:rPr>
                </w:pPr>
              </w:p>
            </w:tc>
            <w:tc>
              <w:tcPr>
                <w:tcW w:w="3020" w:type="dxa"/>
                <w:gridSpan w:val="2"/>
                <w:tcBorders>
                  <w:top w:val="nil"/>
                  <w:left w:val="nil"/>
                  <w:bottom w:val="nil"/>
                  <w:right w:val="nil"/>
                </w:tcBorders>
                <w:shd w:val="clear" w:color="auto" w:fill="auto"/>
                <w:noWrap/>
                <w:vAlign w:val="bottom"/>
                <w:hideMark/>
              </w:tcPr>
              <w:p>
                <w:pPr>
                  <w:rPr>
                    <w:sz w:val="20"/>
                    <w:lang w:eastAsia="lt-LT"/>
                  </w:rPr>
                </w:pPr>
              </w:p>
            </w:tc>
            <w:tc>
              <w:tcPr>
                <w:tcW w:w="1569" w:type="dxa"/>
                <w:gridSpan w:val="2"/>
                <w:tcBorders>
                  <w:top w:val="nil"/>
                  <w:left w:val="nil"/>
                  <w:bottom w:val="nil"/>
                  <w:right w:val="nil"/>
                </w:tcBorders>
                <w:shd w:val="clear" w:color="auto" w:fill="auto"/>
                <w:noWrap/>
                <w:vAlign w:val="bottom"/>
                <w:hideMark/>
              </w:tcPr>
              <w:p>
                <w:pPr>
                  <w:jc w:val="center"/>
                  <w:rPr>
                    <w:sz w:val="20"/>
                    <w:lang w:eastAsia="lt-LT"/>
                  </w:rPr>
                </w:pPr>
              </w:p>
            </w:tc>
            <w:tc>
              <w:tcPr>
                <w:tcW w:w="4270" w:type="dxa"/>
                <w:gridSpan w:val="6"/>
                <w:tcBorders>
                  <w:top w:val="nil"/>
                  <w:left w:val="nil"/>
                  <w:bottom w:val="nil"/>
                  <w:right w:val="nil"/>
                </w:tcBorders>
                <w:shd w:val="clear" w:color="auto" w:fill="auto"/>
                <w:noWrap/>
                <w:vAlign w:val="bottom"/>
                <w:hideMark/>
              </w:tcPr>
              <w:p>
                <w:pPr>
                  <w:ind w:firstLine="1364"/>
                  <w:rPr>
                    <w:color w:val="000000"/>
                    <w:szCs w:val="24"/>
                    <w:lang w:eastAsia="lt-LT"/>
                  </w:rPr>
                </w:pPr>
                <w:r>
                  <w:rPr>
                    <w:color w:val="000000"/>
                    <w:szCs w:val="24"/>
                    <w:lang w:eastAsia="lt-LT"/>
                  </w:rPr>
                  <w:t>____________________</w:t>
                </w:r>
              </w:p>
            </w:tc>
            <w:tc>
              <w:tcPr>
                <w:tcW w:w="1340" w:type="dxa"/>
                <w:gridSpan w:val="2"/>
                <w:tcBorders>
                  <w:top w:val="nil"/>
                  <w:left w:val="nil"/>
                  <w:bottom w:val="nil"/>
                  <w:right w:val="nil"/>
                </w:tcBorders>
                <w:shd w:val="clear" w:color="auto" w:fill="auto"/>
                <w:noWrap/>
                <w:vAlign w:val="bottom"/>
                <w:hideMark/>
              </w:tcPr>
              <w:p>
                <w:pPr>
                  <w:rPr>
                    <w:color w:val="000000"/>
                    <w:szCs w:val="24"/>
                    <w:lang w:eastAsia="lt-LT"/>
                  </w:rPr>
                </w:pPr>
              </w:p>
            </w:tc>
            <w:tc>
              <w:tcPr>
                <w:tcW w:w="1340" w:type="dxa"/>
                <w:tcBorders>
                  <w:top w:val="nil"/>
                  <w:left w:val="nil"/>
                  <w:bottom w:val="nil"/>
                  <w:right w:val="nil"/>
                </w:tcBorders>
                <w:shd w:val="clear" w:color="auto" w:fill="auto"/>
                <w:noWrap/>
                <w:vAlign w:val="bottom"/>
                <w:hideMark/>
              </w:tcPr>
              <w:p>
                <w:pPr>
                  <w:jc w:val="center"/>
                  <w:rPr>
                    <w:sz w:val="20"/>
                    <w:lang w:eastAsia="lt-LT"/>
                  </w:rPr>
                </w:pPr>
              </w:p>
            </w:tc>
            <w:tc>
              <w:tcPr>
                <w:tcW w:w="1340" w:type="dxa"/>
                <w:tcBorders>
                  <w:top w:val="nil"/>
                  <w:left w:val="nil"/>
                  <w:bottom w:val="nil"/>
                  <w:right w:val="nil"/>
                </w:tcBorders>
                <w:shd w:val="clear" w:color="auto" w:fill="auto"/>
                <w:noWrap/>
                <w:vAlign w:val="bottom"/>
                <w:hideMark/>
              </w:tcPr>
              <w:p>
                <w:pPr>
                  <w:jc w:val="center"/>
                  <w:rPr>
                    <w:sz w:val="20"/>
                    <w:lang w:eastAsia="lt-LT"/>
                  </w:rPr>
                </w:pPr>
              </w:p>
            </w:tc>
            <w:tc>
              <w:tcPr>
                <w:tcW w:w="1340" w:type="dxa"/>
                <w:gridSpan w:val="2"/>
                <w:tcBorders>
                  <w:top w:val="nil"/>
                  <w:left w:val="nil"/>
                  <w:bottom w:val="nil"/>
                  <w:right w:val="nil"/>
                </w:tcBorders>
                <w:shd w:val="clear" w:color="auto" w:fill="auto"/>
                <w:noWrap/>
                <w:vAlign w:val="bottom"/>
                <w:hideMark/>
              </w:tcPr>
              <w:p>
                <w:pPr>
                  <w:jc w:val="center"/>
                  <w:rPr>
                    <w:sz w:val="20"/>
                    <w:lang w:eastAsia="lt-LT"/>
                  </w:rPr>
                </w:pPr>
              </w:p>
            </w:tc>
          </w:tr>
          <w:tr>
            <w:trPr>
              <w:trHeight w:val="330"/>
            </w:trPr>
            <w:tc>
              <w:tcPr>
                <w:tcW w:w="898" w:type="dxa"/>
                <w:gridSpan w:val="3"/>
                <w:tcBorders>
                  <w:top w:val="nil"/>
                  <w:left w:val="nil"/>
                  <w:bottom w:val="nil"/>
                  <w:right w:val="nil"/>
                </w:tcBorders>
                <w:shd w:val="clear" w:color="auto" w:fill="auto"/>
                <w:noWrap/>
                <w:vAlign w:val="bottom"/>
                <w:hideMark/>
              </w:tcPr>
              <w:p>
                <w:pPr>
                  <w:jc w:val="center"/>
                  <w:rPr>
                    <w:sz w:val="20"/>
                    <w:lang w:eastAsia="lt-LT"/>
                  </w:rPr>
                </w:pPr>
              </w:p>
            </w:tc>
            <w:tc>
              <w:tcPr>
                <w:tcW w:w="3020" w:type="dxa"/>
                <w:gridSpan w:val="2"/>
                <w:tcBorders>
                  <w:top w:val="nil"/>
                  <w:left w:val="nil"/>
                  <w:bottom w:val="nil"/>
                  <w:right w:val="nil"/>
                </w:tcBorders>
                <w:shd w:val="clear" w:color="auto" w:fill="auto"/>
                <w:noWrap/>
                <w:vAlign w:val="bottom"/>
                <w:hideMark/>
              </w:tcPr>
              <w:p>
                <w:pPr>
                  <w:rPr>
                    <w:sz w:val="20"/>
                    <w:lang w:eastAsia="lt-LT"/>
                  </w:rPr>
                </w:pPr>
              </w:p>
            </w:tc>
            <w:tc>
              <w:tcPr>
                <w:tcW w:w="1569" w:type="dxa"/>
                <w:gridSpan w:val="2"/>
                <w:tcBorders>
                  <w:top w:val="nil"/>
                  <w:left w:val="nil"/>
                  <w:bottom w:val="nil"/>
                  <w:right w:val="nil"/>
                </w:tcBorders>
                <w:shd w:val="clear" w:color="auto" w:fill="auto"/>
                <w:noWrap/>
                <w:vAlign w:val="bottom"/>
                <w:hideMark/>
              </w:tcPr>
              <w:p>
                <w:pPr>
                  <w:rPr>
                    <w:sz w:val="20"/>
                    <w:lang w:eastAsia="lt-LT"/>
                  </w:rPr>
                </w:pPr>
              </w:p>
            </w:tc>
            <w:tc>
              <w:tcPr>
                <w:tcW w:w="5610" w:type="dxa"/>
                <w:gridSpan w:val="8"/>
                <w:tcBorders>
                  <w:top w:val="nil"/>
                  <w:left w:val="nil"/>
                  <w:bottom w:val="nil"/>
                  <w:right w:val="nil"/>
                </w:tcBorders>
                <w:shd w:val="clear" w:color="auto" w:fill="auto"/>
                <w:noWrap/>
                <w:vAlign w:val="bottom"/>
                <w:hideMark/>
              </w:tcPr>
              <w:p>
                <w:pPr>
                  <w:jc w:val="center"/>
                  <w:rPr>
                    <w:color w:val="000000"/>
                    <w:sz w:val="16"/>
                    <w:szCs w:val="16"/>
                    <w:lang w:eastAsia="lt-LT"/>
                  </w:rPr>
                </w:pPr>
                <w:r>
                  <w:rPr>
                    <w:color w:val="000000"/>
                    <w:sz w:val="16"/>
                    <w:szCs w:val="16"/>
                    <w:lang w:eastAsia="lt-LT"/>
                  </w:rPr>
                  <w:t>data (paskutinio metų ketvirčio paskutinės dienos)</w:t>
                </w:r>
              </w:p>
            </w:tc>
            <w:tc>
              <w:tcPr>
                <w:tcW w:w="1340" w:type="dxa"/>
                <w:tcBorders>
                  <w:top w:val="nil"/>
                  <w:left w:val="nil"/>
                  <w:bottom w:val="nil"/>
                  <w:right w:val="nil"/>
                </w:tcBorders>
                <w:shd w:val="clear" w:color="auto" w:fill="auto"/>
                <w:noWrap/>
                <w:vAlign w:val="bottom"/>
                <w:hideMark/>
              </w:tcPr>
              <w:p>
                <w:pPr>
                  <w:jc w:val="center"/>
                  <w:rPr>
                    <w:color w:val="000000"/>
                    <w:szCs w:val="24"/>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r>
          <w:tr>
            <w:trPr>
              <w:trHeight w:val="315"/>
            </w:trPr>
            <w:tc>
              <w:tcPr>
                <w:tcW w:w="898" w:type="dxa"/>
                <w:gridSpan w:val="3"/>
                <w:tcBorders>
                  <w:top w:val="nil"/>
                  <w:left w:val="nil"/>
                  <w:bottom w:val="nil"/>
                  <w:right w:val="nil"/>
                </w:tcBorders>
                <w:shd w:val="clear" w:color="auto" w:fill="auto"/>
                <w:noWrap/>
                <w:vAlign w:val="bottom"/>
                <w:hideMark/>
              </w:tcPr>
              <w:p>
                <w:pPr>
                  <w:rPr>
                    <w:sz w:val="20"/>
                    <w:lang w:eastAsia="lt-LT"/>
                  </w:rPr>
                </w:pPr>
              </w:p>
            </w:tc>
            <w:tc>
              <w:tcPr>
                <w:tcW w:w="3020" w:type="dxa"/>
                <w:gridSpan w:val="2"/>
                <w:tcBorders>
                  <w:top w:val="nil"/>
                  <w:left w:val="nil"/>
                  <w:bottom w:val="nil"/>
                  <w:right w:val="nil"/>
                </w:tcBorders>
                <w:shd w:val="clear" w:color="auto" w:fill="auto"/>
                <w:noWrap/>
                <w:vAlign w:val="bottom"/>
                <w:hideMark/>
              </w:tcPr>
              <w:p>
                <w:pPr>
                  <w:rPr>
                    <w:sz w:val="20"/>
                    <w:lang w:eastAsia="lt-LT"/>
                  </w:rPr>
                </w:pPr>
              </w:p>
            </w:tc>
            <w:tc>
              <w:tcPr>
                <w:tcW w:w="1569" w:type="dxa"/>
                <w:gridSpan w:val="2"/>
                <w:tcBorders>
                  <w:top w:val="nil"/>
                  <w:left w:val="nil"/>
                  <w:bottom w:val="nil"/>
                  <w:right w:val="nil"/>
                </w:tcBorders>
                <w:shd w:val="clear" w:color="auto" w:fill="auto"/>
                <w:noWrap/>
                <w:vAlign w:val="bottom"/>
                <w:hideMark/>
              </w:tcPr>
              <w:p>
                <w:pPr>
                  <w:rPr>
                    <w:sz w:val="20"/>
                    <w:lang w:eastAsia="lt-LT"/>
                  </w:rPr>
                </w:pPr>
              </w:p>
            </w:tc>
            <w:tc>
              <w:tcPr>
                <w:tcW w:w="1437" w:type="dxa"/>
                <w:gridSpan w:val="2"/>
                <w:tcBorders>
                  <w:top w:val="nil"/>
                  <w:left w:val="nil"/>
                  <w:bottom w:val="nil"/>
                  <w:right w:val="nil"/>
                </w:tcBorders>
                <w:shd w:val="clear" w:color="auto" w:fill="auto"/>
                <w:noWrap/>
                <w:vAlign w:val="bottom"/>
                <w:hideMark/>
              </w:tcPr>
              <w:p>
                <w:pPr>
                  <w:rPr>
                    <w:sz w:val="20"/>
                    <w:lang w:eastAsia="lt-LT"/>
                  </w:rPr>
                </w:pPr>
              </w:p>
            </w:tc>
            <w:tc>
              <w:tcPr>
                <w:tcW w:w="1417" w:type="dxa"/>
                <w:gridSpan w:val="2"/>
                <w:tcBorders>
                  <w:top w:val="nil"/>
                  <w:left w:val="nil"/>
                  <w:bottom w:val="nil"/>
                  <w:right w:val="nil"/>
                </w:tcBorders>
                <w:shd w:val="clear" w:color="auto" w:fill="auto"/>
                <w:noWrap/>
                <w:vAlign w:val="bottom"/>
                <w:hideMark/>
              </w:tcPr>
              <w:p>
                <w:pPr>
                  <w:rPr>
                    <w:sz w:val="20"/>
                    <w:lang w:eastAsia="lt-LT"/>
                  </w:rPr>
                </w:pPr>
              </w:p>
            </w:tc>
            <w:tc>
              <w:tcPr>
                <w:tcW w:w="1416" w:type="dxa"/>
                <w:gridSpan w:val="2"/>
                <w:tcBorders>
                  <w:top w:val="nil"/>
                  <w:left w:val="nil"/>
                  <w:bottom w:val="nil"/>
                  <w:right w:val="nil"/>
                </w:tcBorders>
                <w:shd w:val="clear" w:color="auto" w:fill="auto"/>
                <w:noWrap/>
                <w:vAlign w:val="bottom"/>
                <w:hideMark/>
              </w:tcPr>
              <w:p>
                <w:pPr>
                  <w:rPr>
                    <w:sz w:val="20"/>
                    <w:lang w:eastAsia="lt-LT"/>
                  </w:rPr>
                </w:pPr>
              </w:p>
            </w:tc>
            <w:tc>
              <w:tcPr>
                <w:tcW w:w="1340" w:type="dxa"/>
                <w:gridSpan w:val="2"/>
                <w:tcBorders>
                  <w:top w:val="nil"/>
                  <w:left w:val="nil"/>
                  <w:bottom w:val="nil"/>
                  <w:right w:val="nil"/>
                </w:tcBorders>
                <w:shd w:val="clear" w:color="auto" w:fill="auto"/>
                <w:noWrap/>
                <w:vAlign w:val="bottom"/>
                <w:hideMark/>
              </w:tcPr>
              <w:p>
                <w:pPr>
                  <w:rPr>
                    <w:sz w:val="20"/>
                    <w:lang w:eastAsia="lt-LT"/>
                  </w:rPr>
                </w:pPr>
              </w:p>
            </w:tc>
            <w:tc>
              <w:tcPr>
                <w:tcW w:w="1340" w:type="dxa"/>
                <w:tcBorders>
                  <w:top w:val="nil"/>
                  <w:left w:val="nil"/>
                  <w:bottom w:val="nil"/>
                  <w:right w:val="nil"/>
                </w:tcBorders>
                <w:shd w:val="clear" w:color="auto" w:fill="auto"/>
                <w:noWrap/>
                <w:vAlign w:val="bottom"/>
                <w:hideMark/>
              </w:tcPr>
              <w:p>
                <w:pPr>
                  <w:rPr>
                    <w:sz w:val="20"/>
                    <w:lang w:eastAsia="lt-LT"/>
                  </w:rPr>
                </w:pPr>
              </w:p>
            </w:tc>
            <w:tc>
              <w:tcPr>
                <w:tcW w:w="2680" w:type="dxa"/>
                <w:gridSpan w:val="3"/>
                <w:tcBorders>
                  <w:top w:val="nil"/>
                  <w:left w:val="nil"/>
                  <w:bottom w:val="nil"/>
                  <w:right w:val="nil"/>
                </w:tcBorders>
                <w:shd w:val="clear" w:color="auto" w:fill="auto"/>
                <w:noWrap/>
                <w:vAlign w:val="bottom"/>
                <w:hideMark/>
              </w:tcPr>
              <w:p>
                <w:pPr>
                  <w:rPr>
                    <w:strike/>
                    <w:color w:val="000000"/>
                    <w:szCs w:val="24"/>
                    <w:lang w:eastAsia="lt-LT"/>
                  </w:rPr>
                </w:pPr>
              </w:p>
            </w:tc>
          </w:tr>
          <w:tr>
            <w:trPr>
              <w:gridBefore w:val="1"/>
              <w:gridAfter w:val="1"/>
              <w:wBefore w:w="10" w:type="dxa"/>
              <w:wAfter w:w="177" w:type="dxa"/>
              <w:trHeight w:val="855"/>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Eil. Nr.</w:t>
                </w:r>
              </w:p>
            </w:tc>
            <w:tc>
              <w:tcPr>
                <w:tcW w:w="2340"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Paskolos / lizingo davėjo pavadinimas</w:t>
                </w:r>
              </w:p>
            </w:tc>
            <w:tc>
              <w:tcPr>
                <w:tcW w:w="1720"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Paskolos / lizingo (finansinės nuomos) sutarties data ir numeris</w:t>
                </w:r>
              </w:p>
            </w:tc>
            <w:tc>
              <w:tcPr>
                <w:tcW w:w="1509"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Gauta / finansuojama suma (Eur)</w:t>
                </w:r>
              </w:p>
            </w:tc>
            <w:tc>
              <w:tcPr>
                <w:tcW w:w="1580"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szCs w:val="24"/>
                    <w:lang w:eastAsia="lt-LT"/>
                  </w:rPr>
                </w:pPr>
                <w:r>
                  <w:rPr>
                    <w:szCs w:val="24"/>
                    <w:lang w:eastAsia="lt-LT"/>
                  </w:rPr>
                  <w:t>Grąžinimo data</w:t>
                </w:r>
              </w:p>
            </w:tc>
            <w:tc>
              <w:tcPr>
                <w:tcW w:w="1520"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szCs w:val="24"/>
                    <w:lang w:eastAsia="lt-LT"/>
                  </w:rPr>
                </w:pPr>
                <w:r>
                  <w:rPr>
                    <w:szCs w:val="24"/>
                    <w:lang w:eastAsia="lt-LT"/>
                  </w:rPr>
                  <w:t>Likutis (Eur)</w:t>
                </w:r>
              </w:p>
            </w:tc>
            <w:tc>
              <w:tcPr>
                <w:tcW w:w="1720"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Mėnesio įmoka (Eur)</w:t>
                </w:r>
              </w:p>
            </w:tc>
            <w:tc>
              <w:tcPr>
                <w:tcW w:w="4013" w:type="dxa"/>
                <w:gridSpan w:val="4"/>
                <w:tcBorders>
                  <w:top w:val="single" w:sz="4" w:space="0" w:color="auto"/>
                  <w:left w:val="nil"/>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Taikomos kredito įvykdymo užtikrinimo priemonės</w:t>
                </w:r>
              </w:p>
            </w:tc>
          </w:tr>
          <w:tr>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288"/>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300"/>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r>
            <w:trPr>
              <w:gridBefore w:val="1"/>
              <w:gridAfter w:val="1"/>
              <w:wBefore w:w="10" w:type="dxa"/>
              <w:wAfter w:w="177" w:type="dxa"/>
              <w:trHeight w:val="300"/>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tcPr>
              <w:p>
                <w:pPr>
                  <w:rPr>
                    <w:color w:val="000000"/>
                    <w:sz w:val="22"/>
                    <w:szCs w:val="22"/>
                    <w:lang w:eastAsia="lt-LT"/>
                  </w:rPr>
                </w:pPr>
              </w:p>
            </w:tc>
          </w:tr>
          <w:tr>
            <w:trPr>
              <w:gridBefore w:val="1"/>
              <w:gridAfter w:val="1"/>
              <w:wBefore w:w="10" w:type="dxa"/>
              <w:wAfter w:w="177" w:type="dxa"/>
              <w:trHeight w:val="300"/>
            </w:trPr>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Cs w:val="24"/>
                    <w:lang w:eastAsia="lt-LT"/>
                  </w:rPr>
                </w:pPr>
                <w:r>
                  <w:rPr>
                    <w:color w:val="000000"/>
                    <w:szCs w:val="24"/>
                    <w:lang w:eastAsia="lt-LT"/>
                  </w:rPr>
                  <w:t>Iš viso:</w:t>
                </w: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09" w:type="dxa"/>
                <w:gridSpan w:val="2"/>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p>
            </w:tc>
            <w:tc>
              <w:tcPr>
                <w:tcW w:w="1580" w:type="dxa"/>
                <w:gridSpan w:val="2"/>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c>
              <w:tcPr>
                <w:tcW w:w="1520" w:type="dxa"/>
                <w:gridSpan w:val="2"/>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bottom"/>
                <w:hideMark/>
              </w:tcPr>
              <w:p>
                <w:pPr>
                  <w:jc w:val="right"/>
                  <w:rPr>
                    <w:color w:val="000000"/>
                    <w:sz w:val="22"/>
                    <w:szCs w:val="22"/>
                    <w:lang w:eastAsia="lt-LT"/>
                  </w:rPr>
                </w:pPr>
              </w:p>
            </w:tc>
            <w:tc>
              <w:tcPr>
                <w:tcW w:w="4013" w:type="dxa"/>
                <w:gridSpan w:val="4"/>
                <w:tcBorders>
                  <w:top w:val="single" w:sz="4" w:space="0" w:color="auto"/>
                  <w:left w:val="nil"/>
                  <w:bottom w:val="single" w:sz="4" w:space="0" w:color="auto"/>
                  <w:right w:val="single" w:sz="4" w:space="0" w:color="auto"/>
                </w:tcBorders>
                <w:shd w:val="clear" w:color="auto" w:fill="auto"/>
                <w:noWrap/>
                <w:vAlign w:val="bottom"/>
                <w:hideMark/>
              </w:tcPr>
              <w:p>
                <w:pPr>
                  <w:ind w:firstLine="57"/>
                  <w:rPr>
                    <w:color w:val="000000"/>
                    <w:sz w:val="22"/>
                    <w:szCs w:val="22"/>
                    <w:lang w:eastAsia="lt-LT"/>
                  </w:rPr>
                </w:pPr>
              </w:p>
            </w:tc>
          </w:tr>
        </w:tbl>
        <w:p>
          <w:pPr/>
        </w:p>
        <w:sdt>
          <w:sdtPr>
            <w:alias w:val="pabaiga"/>
            <w:tag w:val="part_bc04b58831df410dbf44704b0de27d9d"/>
            <w:lock w:val="sdtLocked"/>
            <w:richText/>
          </w:sdtPr>
          <w:sdtContent>
            <w:p>
              <w:pPr>
                <w:widowControl w:val="0"/>
                <w:ind w:left="108" w:right="95"/>
                <w:jc w:val="cente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5 pr."/>
        <w:tag w:val="part_05d9d45f36614757919de61db0d438ee"/>
        <w:lock w:val="sdtLocked"/>
        <w:richText/>
      </w:sdtPr>
      <w:sdtContent>
        <w:p/>
        <w:p>
          <w:pPr>
            <w:widowControl w:val="0"/>
            <w:tabs>
              <w:tab w:val="left" w:leader="dot" w:pos="851"/>
              <w:tab w:val="left" w:leader="dot" w:pos="1992"/>
              <w:tab w:val="left" w:leader="dot" w:pos="3384"/>
            </w:tabs>
            <w:spacing w:line="144" w:lineRule="atLeast"/>
            <w:ind w:firstLine="4536"/>
            <w:jc w:val="both"/>
            <w:rPr>
              <w:color w:val="000000"/>
            </w:rPr>
            <w:sectPr>
              <w:headerReference w:type="default" r:id="rId20"/>
              <w:headerReference w:type="first" r:id="rId21"/>
              <w:pgSz w:w="16840" w:h="11907" w:orient="landscape" w:code="9"/>
              <w:pgMar w:top="1701" w:right="1134" w:bottom="567" w:left="1134" w:header="567" w:footer="567" w:gutter="0"/>
              <w:pgNumType w:start="2"/>
              <w:cols w:space="1296"/>
              <w:titlePg/>
              <w:docGrid w:linePitch="326"/>
            </w:sectPr>
          </w:pPr>
        </w:p>
        <w:p>
          <w:pPr>
            <w:tabs>
              <w:tab w:val="left" w:pos="11057"/>
            </w:tabs>
            <w:ind w:left="11057" w:firstLine="2"/>
            <w:jc w:val="both"/>
            <w:textAlignment w:val="baseline"/>
            <w:rPr>
              <w:rFonts w:eastAsia="Calibri"/>
              <w:color w:val="000000"/>
              <w:szCs w:val="24"/>
              <w:lang w:val="en-US" w:eastAsia="lt-LT"/>
            </w:rPr>
          </w:pPr>
          <w:r>
            <w:rPr>
              <w:rFonts w:eastAsia="Calibri"/>
              <w:color w:val="000000"/>
              <w:szCs w:val="24"/>
              <w:lang w:eastAsia="lt-LT"/>
            </w:rPr>
            <w:t>Mokestinės nepriemokos ar baudos už administracinį nusižengimą mokėjimo atidėjimo ir (ar) išdėstymo taisyklių</w:t>
          </w:r>
          <w:r>
            <w:rPr>
              <w:rFonts w:eastAsia="Calibri"/>
              <w:color w:val="000000"/>
              <w:szCs w:val="24"/>
              <w:lang w:val="en-US" w:eastAsia="lt-LT"/>
            </w:rPr>
            <w:t xml:space="preserve"> </w:t>
          </w:r>
        </w:p>
        <w:p>
          <w:pPr>
            <w:tabs>
              <w:tab w:val="left" w:pos="11057"/>
            </w:tabs>
            <w:ind w:left="11057" w:firstLine="2"/>
            <w:jc w:val="both"/>
            <w:textAlignment w:val="baseline"/>
            <w:rPr>
              <w:rFonts w:eastAsia="Calibri"/>
              <w:color w:val="000000"/>
              <w:szCs w:val="24"/>
              <w:lang w:val="en-US" w:eastAsia="lt-LT"/>
            </w:rPr>
          </w:pPr>
          <w:r>
            <w:rPr>
              <w:rFonts w:eastAsia="Calibri"/>
              <w:color w:val="000000"/>
              <w:szCs w:val="24"/>
              <w:lang w:val="en-US" w:eastAsia="lt-LT"/>
            </w:rPr>
            <w:t>5 priedas</w:t>
          </w:r>
        </w:p>
        <w:tbl>
          <w:tblPr>
            <w:tblW w:w="14742" w:type="dxa"/>
            <w:tblLook w:val="04A0" w:firstRow="1" w:lastRow="0" w:firstColumn="1" w:lastColumn="0" w:noHBand="0" w:noVBand="1"/>
          </w:tblPr>
          <w:tblGrid>
            <w:gridCol w:w="479"/>
            <w:gridCol w:w="556"/>
            <w:gridCol w:w="3076"/>
            <w:gridCol w:w="1172"/>
            <w:gridCol w:w="3585"/>
            <w:gridCol w:w="1508"/>
            <w:gridCol w:w="453"/>
            <w:gridCol w:w="874"/>
            <w:gridCol w:w="3039"/>
          </w:tblGrid>
          <w:tr>
            <w:trPr>
              <w:trHeight w:val="288"/>
            </w:trPr>
            <w:tc>
              <w:tcPr>
                <w:tcW w:w="14742" w:type="dxa"/>
                <w:gridSpan w:val="9"/>
                <w:tcBorders>
                  <w:top w:val="nil"/>
                  <w:left w:val="nil"/>
                  <w:bottom w:val="nil"/>
                  <w:right w:val="nil"/>
                </w:tcBorders>
                <w:shd w:val="clear" w:color="auto" w:fill="FFFFFF" w:themeFill="background1"/>
                <w:noWrap/>
                <w:vAlign w:val="center"/>
                <w:hideMark/>
              </w:tcPr>
              <w:p>
                <w:pPr>
                  <w:jc w:val="center"/>
                  <w:rPr>
                    <w:b/>
                    <w:bCs/>
                    <w:color w:val="000000"/>
                    <w:szCs w:val="24"/>
                  </w:rPr>
                </w:pPr>
              </w:p>
              <w:p>
                <w:pPr>
                  <w:jc w:val="center"/>
                  <w:rPr>
                    <w:b/>
                    <w:bCs/>
                    <w:color w:val="000000"/>
                  </w:rPr>
                </w:pPr>
                <w:r>
                  <w:rPr>
                    <w:b/>
                    <w:bCs/>
                    <w:color w:val="000000"/>
                  </w:rPr>
                  <w:t>(Vienos įmonės deklaracijos formos pavyzdys)</w:t>
                </w:r>
              </w:p>
              <w:p>
                <w:pPr>
                  <w:jc w:val="center"/>
                  <w:rPr>
                    <w:b/>
                    <w:bCs/>
                    <w:color w:val="000000"/>
                  </w:rPr>
                </w:pPr>
              </w:p>
              <w:p>
                <w:pPr>
                  <w:jc w:val="center"/>
                  <w:rPr>
                    <w:b/>
                    <w:bCs/>
                    <w:color w:val="000000"/>
                    <w:szCs w:val="24"/>
                  </w:rPr>
                </w:pPr>
                <w:r>
                  <w:rPr>
                    <w:b/>
                    <w:bCs/>
                    <w:color w:val="000000"/>
                    <w:szCs w:val="24"/>
                  </w:rPr>
                  <w:t>VIENOS ĮMONĖS DEKLARACIJA</w:t>
                </w:r>
              </w:p>
              <w:p>
                <w:pPr>
                  <w:rPr>
                    <w:b/>
                    <w:bCs/>
                    <w:color w:val="000000"/>
                    <w:szCs w:val="24"/>
                  </w:rPr>
                </w:pPr>
              </w:p>
              <w:p>
                <w:pPr>
                  <w:rPr>
                    <w:b/>
                    <w:bCs/>
                    <w:color w:val="000000"/>
                    <w:szCs w:val="24"/>
                  </w:rPr>
                </w:pPr>
              </w:p>
            </w:tc>
          </w:tr>
          <w:tr>
            <w:trPr>
              <w:gridAfter w:val="2"/>
              <w:wAfter w:w="3913" w:type="dxa"/>
              <w:trHeight w:val="288"/>
            </w:trPr>
            <w:tc>
              <w:tcPr>
                <w:tcW w:w="479" w:type="dxa"/>
                <w:tcBorders>
                  <w:top w:val="nil"/>
                  <w:left w:val="nil"/>
                  <w:bottom w:val="nil"/>
                  <w:right w:val="nil"/>
                </w:tcBorders>
                <w:shd w:val="clear" w:color="auto" w:fill="auto"/>
                <w:noWrap/>
                <w:vAlign w:val="center"/>
                <w:hideMark/>
              </w:tcPr>
              <w:p>
                <w:pPr>
                  <w:jc w:val="center"/>
                  <w:rPr>
                    <w:szCs w:val="24"/>
                  </w:rPr>
                </w:pPr>
              </w:p>
            </w:tc>
            <w:tc>
              <w:tcPr>
                <w:tcW w:w="556" w:type="dxa"/>
                <w:tcBorders>
                  <w:top w:val="nil"/>
                  <w:left w:val="nil"/>
                  <w:bottom w:val="nil"/>
                  <w:right w:val="nil"/>
                </w:tcBorders>
                <w:shd w:val="clear" w:color="auto" w:fill="auto"/>
                <w:noWrap/>
                <w:vAlign w:val="bottom"/>
              </w:tcPr>
              <w:p>
                <w:pPr>
                  <w:jc w:val="center"/>
                  <w:rPr>
                    <w:szCs w:val="24"/>
                  </w:rPr>
                </w:pPr>
              </w:p>
              <w:p>
                <w:pPr>
                  <w:jc w:val="center"/>
                  <w:rPr>
                    <w:szCs w:val="24"/>
                  </w:rPr>
                </w:pPr>
              </w:p>
              <w:p>
                <w:pPr>
                  <w:jc w:val="center"/>
                  <w:rPr>
                    <w:szCs w:val="24"/>
                  </w:rPr>
                </w:pPr>
              </w:p>
            </w:tc>
            <w:tc>
              <w:tcPr>
                <w:tcW w:w="3076" w:type="dxa"/>
                <w:tcBorders>
                  <w:left w:val="nil"/>
                  <w:bottom w:val="nil"/>
                  <w:right w:val="nil"/>
                </w:tcBorders>
                <w:shd w:val="clear" w:color="auto" w:fill="auto"/>
                <w:noWrap/>
                <w:vAlign w:val="bottom"/>
              </w:tcPr>
              <w:p>
                <w:pPr>
                  <w:jc w:val="center"/>
                  <w:rPr>
                    <w:szCs w:val="24"/>
                  </w:rPr>
                </w:pPr>
              </w:p>
            </w:tc>
            <w:tc>
              <w:tcPr>
                <w:tcW w:w="6265" w:type="dxa"/>
                <w:gridSpan w:val="3"/>
                <w:tcBorders>
                  <w:top w:val="single" w:sz="4" w:space="0" w:color="auto"/>
                  <w:left w:val="nil"/>
                  <w:bottom w:val="nil"/>
                  <w:right w:val="nil"/>
                </w:tcBorders>
                <w:shd w:val="clear" w:color="auto" w:fill="auto"/>
                <w:noWrap/>
                <w:vAlign w:val="bottom"/>
                <w:hideMark/>
              </w:tcPr>
              <w:p>
                <w:pPr>
                  <w:jc w:val="center"/>
                  <w:rPr>
                    <w:color w:val="000000"/>
                    <w:sz w:val="20"/>
                  </w:rPr>
                </w:pPr>
                <w:r>
                  <w:rPr>
                    <w:color w:val="000000"/>
                    <w:sz w:val="20"/>
                  </w:rPr>
                  <w:t>užpildymo data</w:t>
                </w:r>
              </w:p>
              <w:p>
                <w:pPr>
                  <w:jc w:val="center"/>
                  <w:rPr>
                    <w:color w:val="000000"/>
                    <w:szCs w:val="24"/>
                  </w:rPr>
                </w:pPr>
              </w:p>
              <w:p>
                <w:pPr>
                  <w:jc w:val="center"/>
                  <w:rPr>
                    <w:color w:val="000000"/>
                    <w:szCs w:val="24"/>
                  </w:rPr>
                </w:pPr>
              </w:p>
            </w:tc>
            <w:tc>
              <w:tcPr>
                <w:tcW w:w="453" w:type="dxa"/>
                <w:tcBorders>
                  <w:top w:val="nil"/>
                  <w:left w:val="nil"/>
                  <w:bottom w:val="nil"/>
                  <w:right w:val="nil"/>
                </w:tcBorders>
                <w:shd w:val="clear" w:color="auto" w:fill="auto"/>
                <w:noWrap/>
                <w:vAlign w:val="bottom"/>
                <w:hideMark/>
              </w:tcPr>
              <w:p>
                <w:pPr>
                  <w:rPr>
                    <w:szCs w:val="24"/>
                  </w:rPr>
                </w:pPr>
              </w:p>
            </w:tc>
          </w:tr>
          <w:tr>
            <w:trPr>
              <w:trHeight w:val="350"/>
            </w:trPr>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hideMark/>
              </w:tcPr>
              <w:p>
                <w:pPr>
                  <w:rPr>
                    <w:b/>
                    <w:bCs/>
                    <w:color w:val="000000"/>
                    <w:szCs w:val="24"/>
                  </w:rPr>
                </w:pPr>
                <w:r>
                  <w:rPr>
                    <w:b/>
                    <w:bCs/>
                    <w:color w:val="000000"/>
                    <w:szCs w:val="24"/>
                  </w:rPr>
                  <w:t>1.</w:t>
                </w:r>
              </w:p>
            </w:tc>
            <w:tc>
              <w:tcPr>
                <w:tcW w:w="4804" w:type="dxa"/>
                <w:gridSpan w:val="3"/>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rPr>
                    <w:b/>
                    <w:bCs/>
                    <w:color w:val="000000"/>
                    <w:szCs w:val="24"/>
                  </w:rPr>
                </w:pPr>
                <w:r>
                  <w:rPr>
                    <w:b/>
                    <w:bCs/>
                    <w:color w:val="000000"/>
                    <w:szCs w:val="24"/>
                  </w:rPr>
                  <w:t>Deklaruojančios įmonės pavadinimas</w:t>
                </w:r>
              </w:p>
            </w:tc>
            <w:tc>
              <w:tcPr>
                <w:tcW w:w="9459" w:type="dxa"/>
                <w:gridSpan w:val="5"/>
                <w:tcBorders>
                  <w:top w:val="single" w:sz="4" w:space="0" w:color="000000" w:themeColor="text1"/>
                  <w:left w:val="nil"/>
                  <w:bottom w:val="single" w:sz="4" w:space="0" w:color="000000" w:themeColor="text1"/>
                  <w:right w:val="single" w:sz="4" w:space="0" w:color="000000" w:themeColor="text1"/>
                </w:tcBorders>
                <w:shd w:val="clear" w:color="auto" w:fill="auto"/>
                <w:vAlign w:val="bottom"/>
              </w:tcPr>
              <w:p>
                <w:pPr>
                  <w:rPr>
                    <w:b/>
                    <w:bCs/>
                    <w:color w:val="000000"/>
                    <w:szCs w:val="24"/>
                  </w:rPr>
                </w:pPr>
              </w:p>
            </w:tc>
          </w:tr>
          <w:tr>
            <w:trPr>
              <w:trHeight w:val="398"/>
            </w:trPr>
            <w:tc>
              <w:tcPr>
                <w:tcW w:w="479" w:type="dxa"/>
                <w:tcBorders>
                  <w:top w:val="nil"/>
                  <w:left w:val="single" w:sz="4" w:space="0" w:color="000000" w:themeColor="text1"/>
                  <w:bottom w:val="single" w:sz="4" w:space="0" w:color="000000" w:themeColor="text1"/>
                  <w:right w:val="single" w:sz="4" w:space="0" w:color="000000" w:themeColor="text1"/>
                </w:tcBorders>
                <w:shd w:val="clear" w:color="auto" w:fill="auto"/>
                <w:noWrap/>
                <w:vAlign w:val="center"/>
                <w:hideMark/>
              </w:tcPr>
              <w:p>
                <w:pPr>
                  <w:rPr>
                    <w:b/>
                    <w:bCs/>
                    <w:color w:val="000000"/>
                    <w:szCs w:val="24"/>
                  </w:rPr>
                </w:pPr>
                <w:r>
                  <w:rPr>
                    <w:b/>
                    <w:bCs/>
                    <w:color w:val="000000"/>
                    <w:szCs w:val="24"/>
                  </w:rPr>
                  <w:t>2.</w:t>
                </w:r>
              </w:p>
            </w:tc>
            <w:tc>
              <w:tcPr>
                <w:tcW w:w="4804" w:type="dxa"/>
                <w:gridSpan w:val="3"/>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rPr>
                    <w:b/>
                    <w:bCs/>
                    <w:color w:val="000000"/>
                    <w:szCs w:val="24"/>
                  </w:rPr>
                </w:pPr>
                <w:r>
                  <w:rPr>
                    <w:b/>
                    <w:bCs/>
                    <w:color w:val="000000"/>
                    <w:szCs w:val="24"/>
                  </w:rPr>
                  <w:t>Deklaruojančios įmonės kodas</w:t>
                </w:r>
              </w:p>
            </w:tc>
            <w:tc>
              <w:tcPr>
                <w:tcW w:w="9459" w:type="dxa"/>
                <w:gridSpan w:val="5"/>
                <w:tcBorders>
                  <w:top w:val="single" w:sz="4" w:space="0" w:color="000000" w:themeColor="text1"/>
                  <w:left w:val="nil"/>
                  <w:bottom w:val="single" w:sz="4" w:space="0" w:color="000000" w:themeColor="text1"/>
                  <w:right w:val="single" w:sz="4" w:space="0" w:color="000000" w:themeColor="text1"/>
                </w:tcBorders>
                <w:shd w:val="clear" w:color="auto" w:fill="auto"/>
                <w:vAlign w:val="bottom"/>
              </w:tcPr>
              <w:p>
                <w:pPr>
                  <w:rPr>
                    <w:b/>
                    <w:bCs/>
                    <w:color w:val="000000"/>
                    <w:szCs w:val="24"/>
                  </w:rPr>
                </w:pPr>
              </w:p>
            </w:tc>
          </w:tr>
          <w:tr>
            <w:tc>
              <w:tcPr>
                <w:tcW w:w="4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rPr>
                    <w:b/>
                    <w:bCs/>
                    <w:color w:val="000000"/>
                    <w:szCs w:val="24"/>
                  </w:rPr>
                </w:pPr>
                <w:r>
                  <w:rPr>
                    <w:b/>
                    <w:bCs/>
                    <w:color w:val="000000"/>
                    <w:szCs w:val="24"/>
                  </w:rPr>
                  <w:t>3.</w:t>
                </w:r>
              </w:p>
            </w:tc>
            <w:tc>
              <w:tcPr>
                <w:tcW w:w="14263" w:type="dxa"/>
                <w:gridSpan w:val="8"/>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vAlign w:val="bottom"/>
                <w:hideMark/>
              </w:tcPr>
              <w:p>
                <w:pPr>
                  <w:rPr>
                    <w:b/>
                    <w:bCs/>
                    <w:color w:val="000000"/>
                    <w:szCs w:val="24"/>
                  </w:rPr>
                </w:pPr>
                <w:r>
                  <w:rPr>
                    <w:b/>
                    <w:bCs/>
                    <w:color w:val="000000"/>
                    <w:szCs w:val="24"/>
                  </w:rPr>
                  <w:t>Vienos įmonės apibrėžtis</w:t>
                </w:r>
              </w:p>
              <w:p>
                <w:pPr>
                  <w:rPr>
                    <w:color w:val="000000"/>
                    <w:szCs w:val="24"/>
                  </w:rPr>
                </w:pPr>
                <w:r>
                  <w:rPr>
                    <w:color w:val="000000"/>
                    <w:szCs w:val="24"/>
                  </w:rPr>
                  <w:t>Vadovaujantis Komisijos Reglamento (ES) 2023/2831, Komisijos Reglamento (ES) Nr. 1408/2013, Komisijos Reglamento (ES) Nr. 1407/2013, Komisijos Reglamento (ES) Nr. 717/2014 2 straipsnio 2 dalimi, Vieną įmonę sudaro visos įmonės, kurios</w:t>
                </w:r>
                <w:r>
                  <w:t xml:space="preserve"> </w:t>
                </w:r>
                <w:r>
                  <w:rPr>
                    <w:color w:val="000000"/>
                    <w:szCs w:val="24"/>
                  </w:rPr>
                  <w:t xml:space="preserve">tarpusavyje yra susietos šiais bent vienos rūšies santykiais: </w:t>
                </w:r>
              </w:p>
              <w:p>
                <w:pPr>
                  <w:rPr>
                    <w:color w:val="000000"/>
                    <w:szCs w:val="24"/>
                  </w:rPr>
                </w:pPr>
                <w:r>
                  <w:rPr>
                    <w:color w:val="000000"/>
                    <w:szCs w:val="24"/>
                  </w:rPr>
                  <w:t>a) viena įmonė turi kitos įmonės akcininkų arba narių balsų daugumą;</w:t>
                  <w:br/>
                  <w:t>b) viena įmonė turi teisę paskirti arba atleisti daugumą kitos įmonės administracijos, valdymo arba priežiūros organo narių;</w:t>
                  <w:br/>
                  <w:t>c) viena įmonė turi teisę kitai įmonei daryti lemiamą poveikį, remdamasi su šia įmone sudaryta sutartimi arba vadovaudamasi steigimo sutarties ar įstatų nuostata;</w:t>
                </w:r>
              </w:p>
              <w:p>
                <w:pPr>
                  <w:rPr>
                    <w:color w:val="000000"/>
                    <w:szCs w:val="24"/>
                  </w:rPr>
                </w:pPr>
                <w:r>
                  <w:rPr>
                    <w:color w:val="000000"/>
                    <w:szCs w:val="24"/>
                  </w:rPr>
                  <w:t xml:space="preserve">d) </w:t>
                </w:r>
                <w:r>
                  <w:rPr>
                    <w:color w:val="000000"/>
                  </w:rPr>
                  <w:t>v</w:t>
                </w:r>
                <w:r>
                  <w:rPr>
                    <w:color w:val="000000"/>
                    <w:szCs w:val="24"/>
                  </w:rPr>
                  <w:t>iena įmonė, kuri yra kitos įmonės akcininkė arba narė, pagal susitarimą su kitais tos įmonės akcininkais ar nariais viena kontroliuoja tos įmonės akcininkų arba narių balsavimo teisių daugumą.</w:t>
                  <w:br/>
                  <w:br/>
                  <w:t>Įmonės, kurios a–d punktuose nurodytais santykiais yra susietos per vieną ar daugiau kitų įmonių, taip pat laikomos Viena įmone.</w:t>
                </w:r>
              </w:p>
              <w:p>
                <w:pPr>
                  <w:rPr>
                    <w:color w:val="000000"/>
                    <w:szCs w:val="24"/>
                  </w:rPr>
                </w:pPr>
                <w:r>
                  <w:rPr>
                    <w:color w:val="000000"/>
                    <w:szCs w:val="24"/>
                  </w:rPr>
                  <w:t>Įmonė yra bet kuris ekonominę veiklą vykdantis fizinis ar juridinis asmuo, nepaisant jo teisinio statuso ir finansavimo būdų. Europos Sąjungos Teisingumo Teismas yra išaiškinęs, kad „bendrovės kontrolinį akcijų paketą turintis subjektas“, kuris „efektyviai kontroliuoja šią bendrovę tiesiogiai ar netiesiogiai dalyvaudamas jos valdyme“, turi būti laikomas dalyvaujančiu tos bendrovės ekonominėje veikloje ir atitinkamai laikomas įmone</w:t>
                </w:r>
                <w:r>
                  <w:rPr>
                    <w:vertAlign w:val="superscript"/>
                  </w:rPr>
                  <w:t xml:space="preserve"> </w:t>
                </w:r>
                <w:r>
                  <w:t>(2006 metų sausio 10 d. Teisingumo teismo sprendimo Byloje C-222/04 112–113 punktai).</w:t>
                </w:r>
              </w:p>
            </w:tc>
          </w:tr>
          <w:tr>
            <w:trPr>
              <w:trHeight w:val="405"/>
            </w:trPr>
            <w:tc>
              <w:tcPr>
                <w:tcW w:w="479" w:type="dxa"/>
                <w:vMerge w:val="restart"/>
                <w:tcBorders>
                  <w:top w:val="single" w:sz="4" w:space="0" w:color="auto"/>
                  <w:left w:val="single" w:sz="4" w:space="0" w:color="auto"/>
                  <w:bottom w:val="single" w:sz="4" w:space="0" w:color="000000" w:themeColor="text1"/>
                  <w:right w:val="single" w:sz="4" w:space="0" w:color="000000" w:themeColor="text1"/>
                </w:tcBorders>
                <w:shd w:val="clear" w:color="auto" w:fill="auto"/>
                <w:vAlign w:val="center"/>
                <w:hideMark/>
              </w:tcPr>
              <w:p>
                <w:pPr>
                  <w:rPr>
                    <w:b/>
                    <w:bCs/>
                    <w:color w:val="000000"/>
                    <w:szCs w:val="24"/>
                  </w:rPr>
                </w:pPr>
                <w:r>
                  <w:rPr>
                    <w:b/>
                    <w:bCs/>
                    <w:color w:val="000000"/>
                    <w:szCs w:val="24"/>
                  </w:rPr>
                  <w:t>4.</w:t>
                </w:r>
              </w:p>
            </w:tc>
            <w:tc>
              <w:tcPr>
                <w:tcW w:w="14263" w:type="dxa"/>
                <w:gridSpan w:val="8"/>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hideMark/>
              </w:tcPr>
              <w:p>
                <w:pPr>
                  <w:rPr>
                    <w:b/>
                    <w:bCs/>
                    <w:color w:val="000000"/>
                    <w:szCs w:val="24"/>
                  </w:rPr>
                </w:pPr>
                <w:r>
                  <w:rPr>
                    <w:b/>
                    <w:bCs/>
                    <w:color w:val="000000"/>
                    <w:szCs w:val="24"/>
                  </w:rPr>
                  <w:t>Deklaruoju, kad deklaruojanti įmonė yra susijusi su šiomis įmonėmis ir visos jos sudaro Vieną įmonę:</w:t>
                </w: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noWrap/>
                <w:vAlign w:val="bottom"/>
                <w:hideMark/>
              </w:tcPr>
              <w:p>
                <w:pPr>
                  <w:rPr>
                    <w:color w:val="000000"/>
                    <w:szCs w:val="24"/>
                  </w:rPr>
                </w:pPr>
                <w:r>
                  <w:rPr>
                    <w:color w:val="000000"/>
                    <w:szCs w:val="24"/>
                  </w:rPr>
                  <w:t>Eil. Nr.</w:t>
                </w:r>
              </w:p>
            </w:tc>
            <w:tc>
              <w:tcPr>
                <w:tcW w:w="3076" w:type="dxa"/>
                <w:tcBorders>
                  <w:top w:val="single" w:sz="4" w:space="0" w:color="auto"/>
                  <w:left w:val="nil"/>
                  <w:bottom w:val="single" w:sz="4" w:space="0" w:color="000000" w:themeColor="text1"/>
                  <w:right w:val="single" w:sz="4" w:space="0" w:color="000000" w:themeColor="text1"/>
                </w:tcBorders>
                <w:shd w:val="clear" w:color="auto" w:fill="auto"/>
                <w:noWrap/>
                <w:vAlign w:val="bottom"/>
                <w:hideMark/>
              </w:tcPr>
              <w:p>
                <w:pPr>
                  <w:rPr>
                    <w:color w:val="000000"/>
                    <w:szCs w:val="24"/>
                  </w:rPr>
                </w:pPr>
                <w:r>
                  <w:rPr>
                    <w:color w:val="000000"/>
                    <w:szCs w:val="24"/>
                  </w:rPr>
                  <w:t>Įmonės kodas</w:t>
                </w: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rPr>
                    <w:color w:val="000000"/>
                    <w:szCs w:val="24"/>
                  </w:rPr>
                </w:pPr>
                <w:r>
                  <w:rPr>
                    <w:color w:val="000000"/>
                    <w:szCs w:val="24"/>
                  </w:rPr>
                  <w:t>Įmonės pavadinimas</w:t>
                </w: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1.</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2.</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3.</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4.</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5.</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6.</w:t>
                </w:r>
              </w:p>
            </w:tc>
            <w:tc>
              <w:tcPr>
                <w:tcW w:w="3076" w:type="dxa"/>
                <w:tcBorders>
                  <w:top w:val="nil"/>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nil"/>
                  <w:left w:val="single" w:sz="4" w:space="0" w:color="000000" w:themeColor="text1"/>
                  <w:bottom w:val="single" w:sz="4" w:space="0" w:color="auto"/>
                  <w:right w:val="single" w:sz="4" w:space="0" w:color="000000" w:themeColor="text1"/>
                </w:tcBorders>
                <w:shd w:val="clear" w:color="auto" w:fill="auto"/>
                <w:noWrap/>
                <w:hideMark/>
              </w:tcPr>
              <w:p>
                <w:pPr>
                  <w:jc w:val="center"/>
                  <w:rPr>
                    <w:color w:val="000000"/>
                    <w:szCs w:val="24"/>
                  </w:rPr>
                </w:pPr>
                <w:r>
                  <w:rPr>
                    <w:color w:val="000000"/>
                    <w:szCs w:val="24"/>
                  </w:rPr>
                  <w:t>7.</w:t>
                </w:r>
              </w:p>
            </w:tc>
            <w:tc>
              <w:tcPr>
                <w:tcW w:w="3076" w:type="dxa"/>
                <w:tcBorders>
                  <w:top w:val="nil"/>
                  <w:left w:val="nil"/>
                  <w:bottom w:val="single" w:sz="4" w:space="0" w:color="auto"/>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single" w:sz="4" w:space="0" w:color="auto"/>
                  <w:left w:val="single" w:sz="4" w:space="0" w:color="000000" w:themeColor="text1"/>
                  <w:bottom w:val="single" w:sz="4" w:space="0" w:color="auto"/>
                  <w:right w:val="single" w:sz="4" w:space="0" w:color="auto"/>
                </w:tcBorders>
                <w:shd w:val="clear" w:color="auto" w:fill="auto"/>
                <w:noWrap/>
                <w:hideMark/>
              </w:tcPr>
              <w:p>
                <w:pPr>
                  <w:jc w:val="center"/>
                  <w:rPr>
                    <w:color w:val="000000"/>
                    <w:szCs w:val="24"/>
                  </w:rPr>
                </w:pPr>
                <w:r>
                  <w:rPr>
                    <w:color w:val="000000"/>
                    <w:szCs w:val="24"/>
                  </w:rPr>
                  <w:t>8.</w:t>
                </w:r>
              </w:p>
            </w:tc>
            <w:tc>
              <w:tcPr>
                <w:tcW w:w="30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479" w:type="dxa"/>
                <w:vMerge/>
                <w:tcBorders>
                  <w:left w:val="single" w:sz="4" w:space="0" w:color="auto"/>
                </w:tcBorders>
                <w:vAlign w:val="center"/>
                <w:hideMark/>
              </w:tcPr>
              <w:p>
                <w:pPr>
                  <w:rPr>
                    <w:b/>
                    <w:bCs/>
                    <w:color w:val="000000"/>
                    <w:szCs w:val="24"/>
                  </w:rPr>
                </w:pPr>
              </w:p>
            </w:tc>
            <w:tc>
              <w:tcPr>
                <w:tcW w:w="556" w:type="dxa"/>
                <w:tcBorders>
                  <w:top w:val="single" w:sz="4" w:space="0" w:color="auto"/>
                  <w:left w:val="single" w:sz="4" w:space="0" w:color="000000" w:themeColor="text1"/>
                  <w:bottom w:val="single" w:sz="4" w:space="0" w:color="auto"/>
                  <w:right w:val="single" w:sz="4" w:space="0" w:color="auto"/>
                </w:tcBorders>
                <w:shd w:val="clear" w:color="auto" w:fill="auto"/>
                <w:noWrap/>
                <w:hideMark/>
              </w:tcPr>
              <w:p>
                <w:pPr>
                  <w:jc w:val="center"/>
                  <w:rPr>
                    <w:color w:val="000000"/>
                    <w:szCs w:val="24"/>
                  </w:rPr>
                </w:pPr>
                <w:r>
                  <w:rPr>
                    <w:color w:val="000000"/>
                    <w:szCs w:val="24"/>
                  </w:rPr>
                  <w:t>9.</w:t>
                </w:r>
              </w:p>
            </w:tc>
            <w:tc>
              <w:tcPr>
                <w:tcW w:w="30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single" w:sz="4" w:space="0" w:color="auto"/>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24"/>
            </w:trPr>
            <w:tc>
              <w:tcPr>
                <w:tcW w:w="479" w:type="dxa"/>
                <w:vMerge/>
                <w:tcBorders>
                  <w:left w:val="single" w:sz="4" w:space="0" w:color="auto"/>
                </w:tcBorders>
                <w:vAlign w:val="center"/>
                <w:hideMark/>
              </w:tcPr>
              <w:p>
                <w:pPr>
                  <w:rPr>
                    <w:b/>
                    <w:bCs/>
                    <w:color w:val="000000"/>
                    <w:szCs w:val="24"/>
                  </w:rPr>
                </w:pPr>
              </w:p>
            </w:tc>
            <w:tc>
              <w:tcPr>
                <w:tcW w:w="556"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noWrap/>
                <w:hideMark/>
              </w:tcPr>
              <w:p>
                <w:pPr>
                  <w:jc w:val="center"/>
                  <w:rPr>
                    <w:color w:val="000000"/>
                    <w:szCs w:val="24"/>
                  </w:rPr>
                </w:pPr>
                <w:r>
                  <w:rPr>
                    <w:color w:val="000000"/>
                    <w:szCs w:val="24"/>
                  </w:rPr>
                  <w:t>10.</w:t>
                </w:r>
              </w:p>
            </w:tc>
            <w:tc>
              <w:tcPr>
                <w:tcW w:w="3076" w:type="dxa"/>
                <w:tcBorders>
                  <w:top w:val="single" w:sz="4" w:space="0" w:color="auto"/>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c>
              <w:tcPr>
                <w:tcW w:w="10631" w:type="dxa"/>
                <w:gridSpan w:val="6"/>
                <w:tcBorders>
                  <w:top w:val="single" w:sz="4" w:space="0" w:color="000000" w:themeColor="text1"/>
                  <w:left w:val="nil"/>
                  <w:bottom w:val="single" w:sz="4" w:space="0" w:color="000000" w:themeColor="text1"/>
                  <w:right w:val="single" w:sz="4" w:space="0" w:color="000000" w:themeColor="text1"/>
                </w:tcBorders>
                <w:shd w:val="clear" w:color="auto" w:fill="auto"/>
                <w:noWrap/>
                <w:vAlign w:val="bottom"/>
                <w:hideMark/>
              </w:tcPr>
              <w:p>
                <w:pPr>
                  <w:ind w:firstLine="62"/>
                  <w:rPr>
                    <w:color w:val="000000"/>
                    <w:szCs w:val="24"/>
                  </w:rPr>
                </w:pPr>
              </w:p>
            </w:tc>
          </w:tr>
          <w:tr>
            <w:trPr>
              <w:trHeight w:val="288"/>
            </w:trPr>
            <w:tc>
              <w:tcPr>
                <w:tcW w:w="14742" w:type="dxa"/>
                <w:gridSpan w:val="9"/>
                <w:tcBorders>
                  <w:top w:val="single" w:sz="4" w:space="0" w:color="000000" w:themeColor="text1"/>
                  <w:left w:val="nil"/>
                  <w:bottom w:val="single" w:sz="4" w:space="0" w:color="000000" w:themeColor="text1"/>
                  <w:right w:val="nil"/>
                </w:tcBorders>
                <w:shd w:val="clear" w:color="auto" w:fill="auto"/>
                <w:noWrap/>
                <w:vAlign w:val="bottom"/>
                <w:hideMark/>
              </w:tcPr>
              <w:p>
                <w:pPr>
                  <w:ind w:firstLine="62"/>
                  <w:rPr>
                    <w:color w:val="000000"/>
                    <w:szCs w:val="24"/>
                  </w:rPr>
                </w:pPr>
              </w:p>
            </w:tc>
          </w:tr>
          <w:tr>
            <w:trPr>
              <w:trHeight w:val="585"/>
            </w:trPr>
            <w:tc>
              <w:tcPr>
                <w:tcW w:w="479" w:type="dxa"/>
                <w:tcBorders>
                  <w:top w:val="nil"/>
                  <w:left w:val="single" w:sz="4" w:space="0" w:color="000000" w:themeColor="text1"/>
                  <w:bottom w:val="single" w:sz="4" w:space="0" w:color="000000" w:themeColor="text1"/>
                  <w:right w:val="single" w:sz="4" w:space="0" w:color="000000" w:themeColor="text1"/>
                </w:tcBorders>
                <w:shd w:val="clear" w:color="auto" w:fill="auto"/>
                <w:noWrap/>
                <w:vAlign w:val="center"/>
                <w:hideMark/>
              </w:tcPr>
              <w:p>
                <w:pPr>
                  <w:rPr>
                    <w:b/>
                    <w:bCs/>
                    <w:color w:val="000000"/>
                    <w:szCs w:val="24"/>
                  </w:rPr>
                </w:pPr>
                <w:r>
                  <w:rPr>
                    <w:b/>
                    <w:bCs/>
                    <w:color w:val="000000"/>
                    <w:szCs w:val="24"/>
                  </w:rPr>
                  <w:t>5.</w:t>
                </w:r>
              </w:p>
            </w:tc>
            <w:tc>
              <w:tcPr>
                <w:tcW w:w="14263" w:type="dxa"/>
                <w:gridSpan w:val="8"/>
                <w:tcBorders>
                  <w:top w:val="single" w:sz="4" w:space="0" w:color="000000" w:themeColor="text1"/>
                  <w:left w:val="nil"/>
                  <w:bottom w:val="single" w:sz="4" w:space="0" w:color="000000" w:themeColor="text1"/>
                  <w:right w:val="single" w:sz="4" w:space="0" w:color="000000" w:themeColor="text1"/>
                </w:tcBorders>
                <w:shd w:val="clear" w:color="auto" w:fill="auto"/>
                <w:vAlign w:val="bottom"/>
                <w:hideMark/>
              </w:tcPr>
              <w:p>
                <w:pPr>
                  <w:rPr>
                    <w:color w:val="000000"/>
                    <w:szCs w:val="24"/>
                  </w:rPr>
                </w:pPr>
                <w:r>
                  <w:rPr>
                    <w:color w:val="000000"/>
                    <w:szCs w:val="24"/>
                  </w:rPr>
                  <w:t>Aš, toliau pasirašęs, patvirtinu, kad deklaracijoje pateikti duomenys yra teisingi ir į deklaraciją yra įtrauktos visos su deklaruojančia įmone susijusios įmonės, kurios sudaro Vieną įmonę.</w:t>
                </w:r>
              </w:p>
            </w:tc>
          </w:tr>
          <w:tr>
            <w:trPr>
              <w:gridAfter w:val="1"/>
              <w:wAfter w:w="3039" w:type="dxa"/>
              <w:trHeight w:val="585"/>
            </w:trPr>
            <w:tc>
              <w:tcPr>
                <w:tcW w:w="479" w:type="dxa"/>
                <w:tcBorders>
                  <w:top w:val="nil"/>
                  <w:left w:val="nil"/>
                  <w:right w:val="nil"/>
                </w:tcBorders>
                <w:shd w:val="clear" w:color="auto" w:fill="auto"/>
                <w:noWrap/>
                <w:vAlign w:val="center"/>
                <w:hideMark/>
              </w:tcPr>
              <w:p>
                <w:pPr>
                  <w:rPr>
                    <w:color w:val="000000"/>
                    <w:szCs w:val="24"/>
                  </w:rPr>
                </w:pPr>
              </w:p>
            </w:tc>
            <w:tc>
              <w:tcPr>
                <w:tcW w:w="3632" w:type="dxa"/>
                <w:gridSpan w:val="2"/>
                <w:tcBorders>
                  <w:top w:val="single" w:sz="4" w:space="0" w:color="000000" w:themeColor="text1"/>
                  <w:left w:val="nil"/>
                  <w:right w:val="nil"/>
                </w:tcBorders>
                <w:shd w:val="clear" w:color="auto" w:fill="auto"/>
                <w:noWrap/>
                <w:vAlign w:val="bottom"/>
                <w:hideMark/>
              </w:tcPr>
              <w:p>
                <w:pPr>
                  <w:ind w:firstLine="62"/>
                  <w:rPr>
                    <w:color w:val="000000"/>
                    <w:szCs w:val="24"/>
                  </w:rPr>
                </w:pPr>
              </w:p>
            </w:tc>
            <w:tc>
              <w:tcPr>
                <w:tcW w:w="4757" w:type="dxa"/>
                <w:gridSpan w:val="2"/>
                <w:tcBorders>
                  <w:top w:val="nil"/>
                  <w:left w:val="nil"/>
                  <w:right w:val="nil"/>
                </w:tcBorders>
                <w:shd w:val="clear" w:color="auto" w:fill="auto"/>
                <w:vAlign w:val="bottom"/>
                <w:hideMark/>
              </w:tcPr>
              <w:p>
                <w:pPr>
                  <w:ind w:firstLine="62"/>
                  <w:rPr>
                    <w:color w:val="000000"/>
                    <w:szCs w:val="24"/>
                  </w:rPr>
                </w:pPr>
              </w:p>
            </w:tc>
            <w:tc>
              <w:tcPr>
                <w:tcW w:w="2835" w:type="dxa"/>
                <w:gridSpan w:val="3"/>
                <w:tcBorders>
                  <w:top w:val="single" w:sz="4" w:space="0" w:color="000000" w:themeColor="text1"/>
                  <w:left w:val="nil"/>
                  <w:right w:val="nil"/>
                </w:tcBorders>
                <w:shd w:val="clear" w:color="auto" w:fill="auto"/>
                <w:noWrap/>
                <w:vAlign w:val="bottom"/>
                <w:hideMark/>
              </w:tcPr>
              <w:p>
                <w:pPr>
                  <w:ind w:firstLine="62"/>
                  <w:rPr>
                    <w:color w:val="000000"/>
                    <w:szCs w:val="24"/>
                  </w:rPr>
                </w:pPr>
              </w:p>
            </w:tc>
          </w:tr>
          <w:tr>
            <w:trPr>
              <w:gridAfter w:val="1"/>
              <w:wAfter w:w="3039" w:type="dxa"/>
              <w:trHeight w:val="288"/>
            </w:trPr>
            <w:tc>
              <w:tcPr>
                <w:tcW w:w="4111" w:type="dxa"/>
                <w:gridSpan w:val="3"/>
                <w:shd w:val="clear" w:color="auto" w:fill="auto"/>
                <w:noWrap/>
                <w:vAlign w:val="bottom"/>
                <w:hideMark/>
              </w:tcPr>
              <w:p>
                <w:pPr>
                  <w:ind w:firstLine="62"/>
                  <w:rPr>
                    <w:color w:val="000000"/>
                    <w:szCs w:val="24"/>
                  </w:rPr>
                </w:pPr>
                <w:r>
                  <w:rPr>
                    <w:color w:val="000000"/>
                    <w:szCs w:val="24"/>
                    <w:lang w:eastAsia="lt-LT"/>
                  </w:rPr>
                  <mc:AlternateContent>
                    <mc:Choice Requires="wps">
                      <w:drawing>
                        <wp:anchor distT="0" distB="0" distL="114300" distR="114300" simplePos="0" relativeHeight="251725824" behindDoc="0" locked="0" layoutInCell="1" allowOverlap="1">
                          <wp:simplePos x="0" y="0"/>
                          <wp:positionH relativeFrom="column">
                            <wp:posOffset>108585</wp:posOffset>
                          </wp:positionH>
                          <wp:positionV relativeFrom="paragraph">
                            <wp:posOffset>-38735</wp:posOffset>
                          </wp:positionV>
                          <wp:extent cx="2028825"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20288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5pt,-3.05pt" to="168.3pt,-3.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3fcEzgEAAAMEAAAOAAAAZHJzL2Uyb0RvYy54bWysU02L2zAQvRf6H4TujR1DSzBx9pBl97K0 odv+AK08igX6YqTGzr/vSE6cpV0oLb3IHmnem3lPo+3dZA07AUbtXcfXq5ozcNL32h07/v3bw4cN ZzEJ1wvjHXT8DJHf7d6/246hhcYP3vSAjEhcbMfQ8SGl0FZVlANYEVc+gKND5dGKRCEeqx7FSOzW VE1df6pGj31ALyFG2r2fD/mu8CsFMn1RKkJipuPUWyorlvUlr9VuK9ojijBoeWlD/EMXVmhHRReq e5EE+4H6NyqrJfroVVpJbyuvlJZQNJCadf2LmudBBChayJwYFpvi/6OVn08HZLrveMOZE5au6Dmh 0Mchsb13jgz0yJrs0xhiS+l7d8BLFMMBs+hJoc1fksOm4u158RamxCRtNnWz2TQfOZPXs+oGDBjT I3jL8k/HjXZZtmjF6SkmKkap15S8bVxeoze6f9DGlCAPDOwNspOgq07TOrdMuFdZFGVklYXMrZe/ dDYws34FRVZQs+tSvQzhjVNICS5deY2j7AxT1MECrP8MvORnKJQB/RvwgiiVvUsL2Grn8a3qNyvU nH91YNadLXjx/blcarGGJq04d3kVeZRfxwV+e7u7nwAAAP//AwBQSwMEFAAGAAgAAAAhAHGTilHc AAAACAEAAA8AAABkcnMvZG93bnJldi54bWxMjzFPwzAQhXck/oN1SGytU4pMlcapEIIFsSR0gM1N rnHU+JzGThP+PYcYYDq9e0/vvst2s+vEBYfQetKwWiYgkCpft9Ro2L+/LDYgQjRUm84TavjCALv8 +iozae0nKvBSxkZwCYXUaLAx9qmUobLoTFj6Hom9ox+ciSyHRtaDmbjcdfIuSZR0piW+YE2PTxar Uzk6Da/nt7C/V8Vz8XHelNPncbSNR61vb+bHLYiIc/wLww8+o0POTAc/Uh1Ex/phxUkNC8WT/fVa KRCH34XMM/n/gfwbAAD//wMAUEsBAi0AFAAGAAgAAAAhALaDOJL+AAAA4QEAABMAAAAAAAAAAAAA AAAAAAAAAFtDb250ZW50X1R5cGVzXS54bWxQSwECLQAUAAYACAAAACEAOP0h/9YAAACUAQAACwAA AAAAAAAAAAAAAAAvAQAAX3JlbHMvLnJlbHNQSwECLQAUAAYACAAAACEAs933BM4BAAADBAAADgAA AAAAAAAAAAAAAAAuAgAAZHJzL2Uyb0RvYy54bWxQSwECLQAUAAYACAAAACEAcZOKUdwAAAAIAQAA DwAAAAAAAAAAAAAAAAAoBAAAZHJzL2Rvd25yZXYueG1sUEsFBgAAAAAEAAQA8wAAADEFAAAAAA== " strokecolor="black [3213]"/>
                      </w:pict>
                    </mc:Fallback>
                  </mc:AlternateContent>
                </w:r>
              </w:p>
            </w:tc>
            <w:tc>
              <w:tcPr>
                <w:tcW w:w="4757" w:type="dxa"/>
                <w:gridSpan w:val="2"/>
                <w:shd w:val="clear" w:color="auto" w:fill="auto"/>
                <w:noWrap/>
                <w:vAlign w:val="bottom"/>
                <w:hideMark/>
              </w:tcPr>
              <w:p>
                <w:pPr>
                  <w:ind w:firstLine="62"/>
                  <w:rPr>
                    <w:color w:val="000000"/>
                    <w:szCs w:val="24"/>
                  </w:rPr>
                </w:pPr>
                <w:r>
                  <w:rPr>
                    <w:color w:val="000000"/>
                    <w:szCs w:val="24"/>
                    <w:lang w:eastAsia="lt-LT"/>
                  </w:rPr>
                  <mc:AlternateContent>
                    <mc:Choice Requires="wps">
                      <w:drawing>
                        <wp:anchor distT="0" distB="0" distL="114300" distR="114300" simplePos="0" relativeHeight="251726848" behindDoc="0" locked="0" layoutInCell="1" allowOverlap="1">
                          <wp:simplePos x="0" y="0"/>
                          <wp:positionH relativeFrom="column">
                            <wp:posOffset>76200</wp:posOffset>
                          </wp:positionH>
                          <wp:positionV relativeFrom="paragraph">
                            <wp:posOffset>20955</wp:posOffset>
                          </wp:positionV>
                          <wp:extent cx="1371600" cy="9525"/>
                          <wp:effectExtent l="0" t="0" r="19050" b="28575"/>
                          <wp:wrapNone/>
                          <wp:docPr id="3" name="Straight Connector 3"/>
                          <wp:cNvGraphicFramePr/>
                          <a:graphic xmlns:a="http://schemas.openxmlformats.org/drawingml/2006/main">
                            <a:graphicData uri="http://schemas.microsoft.com/office/word/2010/wordprocessingShape">
                              <wps:wsp>
                                <wps:cNvCnPr/>
                                <wps:spPr>
                                  <a:xfrm flipV="1">
                                    <a:off x="0" y="0"/>
                                    <a:ext cx="137160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 o:spid="_x0000_s1026" style="position:absolute;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pt,1.65pt" to="114pt,2.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6dsz2QEAABAEAAAOAAAAZHJzL2Uyb0RvYy54bWysU02P0zAQvSPxHyzfadJWu0DUdA9dLRcE Fbtw9zrjxpK/NDZt+u8ZO2m6AiQE4mL5Y96beW/Gm7vBGnYEjNq7li8XNWfgpO+0O7T869PDm3ec xSRcJ4x30PIzRH63ff1qcwoNrHzvTQfIiMTF5hRa3qcUmqqKsgcr4sIHcPSoPFqR6IiHqkNxInZr qlVd31Ynj11ALyFGur0fH/m28CsFMn1WKkJipuVUWyorlvU5r9V2I5oDitBrOZUh/qEKK7SjpDPV vUiCfUf9C5XVEn30Ki2kt5VXSksoGkjNsv5JzWMvAhQtZE4Ms03x/9HKT8c9Mt21fM2ZE5Za9JhQ 6EOf2M47RwZ6ZOvs0ynEhsJ3bo/TKYY9ZtGDQsuU0eEbjUCxgYSxobh8nl2GITFJl8v12+VtTc2Q 9Pb+ZnWTyauRJbMFjOkDeMvypuVGu+yBaMTxY0xj6CUkXxuX1+iN7h60MeWQpwd2BtlRUN/TsJxS vIiihBlZZVWjjrJLZwMj6xdQ5Euut2QvE3nlFFKCSxde4yg6wxRVMAPrPwOn+AyFMq1/A54RJbN3 aQZb7Tz+LvvVCjXGXxwYdWcLnn13Lh0u1tDYleZMXyTP9ctzgV8/8vYHAAAA//8DAFBLAwQUAAYA CAAAACEA6Dxy+9wAAAAGAQAADwAAAGRycy9kb3ducmV2LnhtbEyPwWrDMBBE74X+g9hCb40cuRTj Wg6hkFB6ixsIvcmWbJlYK2MpjtOv7/bUHh+zzLwtNosb2Gym0HuUsF4lwAw2XvfYSTh+7p4yYCEq 1GrwaCTcTIBNeX9XqFz7Kx7MXMWOUQmGXEmwMY4556Gxxqmw8qNBylo/ORUJp47rSV2p3A1cJMkL d6pHWrBqNG/WNOfq4iTs6vb29b0/vYt2L+z5Iz0e5iqR8vFh2b4Ci2aJf8fwq0/qUJJT7S+oAxuI Bb0SJaQpMIqFyIhrCc8Z8LLg//XLHwAAAP//AwBQSwECLQAUAAYACAAAACEAtoM4kv4AAADhAQAA EwAAAAAAAAAAAAAAAAAAAAAAW0NvbnRlbnRfVHlwZXNdLnhtbFBLAQItABQABgAIAAAAIQA4/SH/ 1gAAAJQBAAALAAAAAAAAAAAAAAAAAC8BAABfcmVscy8ucmVsc1BLAQItABQABgAIAAAAIQBR6dsz 2QEAABAEAAAOAAAAAAAAAAAAAAAAAC4CAABkcnMvZTJvRG9jLnhtbFBLAQItABQABgAIAAAAIQDo PHL73AAAAAYBAAAPAAAAAAAAAAAAAAAAADMEAABkcnMvZG93bnJldi54bWxQSwUGAAAAAAQABADz AAAAPAUAAAAA " strokecolor="black [3213]"/>
                      </w:pict>
                    </mc:Fallback>
                  </mc:AlternateContent>
                </w:r>
              </w:p>
            </w:tc>
            <w:tc>
              <w:tcPr>
                <w:tcW w:w="2835" w:type="dxa"/>
                <w:gridSpan w:val="3"/>
                <w:shd w:val="clear" w:color="auto" w:fill="auto"/>
                <w:noWrap/>
                <w:vAlign w:val="bottom"/>
                <w:hideMark/>
              </w:tcPr>
              <w:p>
                <w:pPr>
                  <w:ind w:firstLine="62"/>
                  <w:rPr>
                    <w:color w:val="000000"/>
                    <w:szCs w:val="24"/>
                  </w:rPr>
                </w:pPr>
              </w:p>
            </w:tc>
          </w:tr>
          <w:tr>
            <w:trPr>
              <w:gridAfter w:val="1"/>
              <w:wAfter w:w="3039" w:type="dxa"/>
              <w:trHeight w:val="288"/>
            </w:trPr>
            <w:tc>
              <w:tcPr>
                <w:tcW w:w="4111" w:type="dxa"/>
                <w:gridSpan w:val="3"/>
                <w:shd w:val="clear" w:color="auto" w:fill="auto"/>
                <w:noWrap/>
                <w:vAlign w:val="center"/>
              </w:tcPr>
              <w:p>
                <w:pPr>
                  <w:jc w:val="center"/>
                  <w:rPr>
                    <w:color w:val="000000"/>
                    <w:sz w:val="20"/>
                  </w:rPr>
                </w:pPr>
                <w:r>
                  <w:rPr>
                    <w:color w:val="000000"/>
                    <w:sz w:val="20"/>
                  </w:rPr>
                  <w:t>pareigos, vardas pavardė</w:t>
                </w:r>
              </w:p>
            </w:tc>
            <w:tc>
              <w:tcPr>
                <w:tcW w:w="4757" w:type="dxa"/>
                <w:gridSpan w:val="2"/>
                <w:shd w:val="clear" w:color="auto" w:fill="auto"/>
                <w:noWrap/>
                <w:vAlign w:val="center"/>
              </w:tcPr>
              <w:p>
                <w:pPr>
                  <w:ind w:firstLine="742"/>
                  <w:rPr>
                    <w:color w:val="000000"/>
                    <w:sz w:val="20"/>
                    <w:lang w:eastAsia="lt-LT"/>
                  </w:rPr>
                </w:pPr>
                <w:r>
                  <w:rPr>
                    <w:color w:val="000000"/>
                    <w:sz w:val="20"/>
                  </w:rPr>
                  <w:t>parašas</w:t>
                </w:r>
                <w:r>
                  <w:rPr>
                    <w:color w:val="000000"/>
                    <w:sz w:val="20"/>
                    <w:lang w:eastAsia="lt-LT"/>
                  </w:rPr>
                  <w:t xml:space="preserve"> </w:t>
                </w:r>
              </w:p>
            </w:tc>
            <w:tc>
              <w:tcPr>
                <w:tcW w:w="2835" w:type="dxa"/>
                <w:gridSpan w:val="3"/>
                <w:tcBorders>
                  <w:right w:val="nil"/>
                </w:tcBorders>
                <w:shd w:val="clear" w:color="auto" w:fill="auto"/>
                <w:noWrap/>
                <w:vAlign w:val="bottom"/>
              </w:tcPr>
              <w:p>
                <w:pPr>
                  <w:jc w:val="center"/>
                  <w:rPr>
                    <w:color w:val="000000"/>
                    <w:sz w:val="20"/>
                  </w:rPr>
                </w:pPr>
              </w:p>
            </w:tc>
          </w:tr>
        </w:tbl>
        <w:p/>
      </w:sdtContent>
    </w:sdt>
    <w:sdt>
      <w:sdtPr>
        <w:alias w:val="patvirtinta"/>
        <w:tag w:val="part_1b4472ce22824759a0dc0e6976d5388f"/>
        <w:lock w:val="sdtLocked"/>
        <w:richText/>
      </w:sdtPr>
      <w:sdtContent>
        <w:p>
          <w:pPr>
            <w:widowControl w:val="0"/>
            <w:tabs>
              <w:tab w:val="left" w:leader="dot" w:pos="851"/>
              <w:tab w:val="left" w:leader="dot" w:pos="1992"/>
              <w:tab w:val="left" w:leader="dot" w:pos="3384"/>
            </w:tabs>
            <w:spacing w:line="144" w:lineRule="atLeast"/>
            <w:jc w:val="both"/>
            <w:rPr>
              <w:color w:val="000000"/>
            </w:rPr>
          </w:pPr>
        </w:p>
        <w:p>
          <w:pPr>
            <w:widowControl w:val="0"/>
            <w:tabs>
              <w:tab w:val="left" w:leader="dot" w:pos="851"/>
              <w:tab w:val="left" w:leader="dot" w:pos="1992"/>
              <w:tab w:val="left" w:leader="dot" w:pos="3384"/>
            </w:tabs>
            <w:spacing w:line="144" w:lineRule="atLeast"/>
            <w:jc w:val="both"/>
            <w:rPr>
              <w:color w:val="000000"/>
            </w:rPr>
            <w:sectPr>
              <w:pgSz w:w="16840" w:h="11907" w:orient="landscape" w:code="9"/>
              <w:pgMar w:top="1276" w:right="1134" w:bottom="567" w:left="1134" w:header="567" w:footer="567" w:gutter="0"/>
              <w:pgNumType w:start="2"/>
              <w:cols w:space="1296"/>
              <w:titlePg/>
              <w:docGrid w:linePitch="326"/>
            </w:sectPr>
          </w:pPr>
        </w:p>
        <w:p>
          <w:pPr>
            <w:widowControl w:val="0"/>
            <w:tabs>
              <w:tab w:val="left" w:leader="dot" w:pos="851"/>
              <w:tab w:val="left" w:leader="dot" w:pos="1992"/>
              <w:tab w:val="left" w:leader="dot" w:pos="3384"/>
            </w:tabs>
            <w:spacing w:line="144" w:lineRule="atLeast"/>
            <w:ind w:firstLine="4536"/>
            <w:rPr>
              <w:color w:val="000000"/>
            </w:rPr>
          </w:pPr>
          <w:r>
            <w:rPr>
              <w:color w:val="000000"/>
            </w:rPr>
            <w:t>PATVIRTINTA</w:t>
          </w:r>
        </w:p>
        <w:p>
          <w:pPr>
            <w:widowControl w:val="0"/>
            <w:tabs>
              <w:tab w:val="left" w:leader="dot" w:pos="851"/>
              <w:tab w:val="left" w:leader="dot" w:pos="1992"/>
              <w:tab w:val="left" w:leader="dot" w:pos="3384"/>
            </w:tabs>
            <w:spacing w:line="144" w:lineRule="atLeast"/>
            <w:ind w:firstLine="4536"/>
            <w:rPr>
              <w:color w:val="000000"/>
            </w:rPr>
          </w:pPr>
          <w:r>
            <w:rPr>
              <w:color w:val="000000"/>
            </w:rPr>
            <w:t xml:space="preserve">Valstybinės mokesčių inspekcijos prie </w:t>
          </w:r>
        </w:p>
        <w:p>
          <w:pPr>
            <w:widowControl w:val="0"/>
            <w:tabs>
              <w:tab w:val="left" w:leader="dot" w:pos="851"/>
              <w:tab w:val="left" w:leader="dot" w:pos="1992"/>
              <w:tab w:val="left" w:leader="dot" w:pos="3384"/>
            </w:tabs>
            <w:spacing w:line="144" w:lineRule="atLeast"/>
            <w:ind w:left="4536"/>
            <w:rPr>
              <w:color w:val="000000"/>
            </w:rPr>
          </w:pPr>
          <w:r>
            <w:rPr>
              <w:color w:val="000000"/>
            </w:rPr>
            <w:t xml:space="preserve">Lietuvos Respublikos finansų ministerijos viršininko </w:t>
          </w:r>
        </w:p>
        <w:p>
          <w:pPr>
            <w:widowControl w:val="0"/>
            <w:tabs>
              <w:tab w:val="left" w:leader="dot" w:pos="851"/>
              <w:tab w:val="left" w:leader="dot" w:pos="1992"/>
              <w:tab w:val="left" w:leader="dot" w:pos="3384"/>
            </w:tabs>
            <w:spacing w:line="144" w:lineRule="atLeast"/>
            <w:ind w:firstLine="4536"/>
            <w:rPr>
              <w:color w:val="000000"/>
            </w:rPr>
          </w:pPr>
          <w:r>
            <w:rPr>
              <w:color w:val="000000"/>
            </w:rPr>
            <w:t>20</w:t>
          </w:r>
          <w:r>
            <w:rPr>
              <w:color w:val="000000"/>
              <w:lang w:val="en-US"/>
            </w:rPr>
            <w:t>24</w:t>
          </w:r>
          <w:r>
            <w:rPr>
              <w:color w:val="000000"/>
            </w:rPr>
            <w:t xml:space="preserve"> m. spalio 23 d. įsakymu Nr. VA-83</w:t>
          </w:r>
        </w:p>
        <w:p>
          <w:pPr>
            <w:ind w:left="4536"/>
            <w:jc w:val="both"/>
            <w:rPr>
              <w:szCs w:val="24"/>
              <w:lang w:eastAsia="lt-LT"/>
            </w:rPr>
          </w:pPr>
          <w:r>
            <w:rPr>
              <w:szCs w:val="24"/>
              <w:lang w:eastAsia="lt-LT"/>
            </w:rPr>
            <w:t xml:space="preserve">(Valstybinės mokesčių inspekcijos prie </w:t>
          </w:r>
        </w:p>
        <w:p>
          <w:pPr>
            <w:ind w:left="4536"/>
            <w:jc w:val="both"/>
            <w:rPr>
              <w:szCs w:val="24"/>
              <w:lang w:eastAsia="lt-LT"/>
            </w:rPr>
          </w:pPr>
          <w:r>
            <w:rPr>
              <w:szCs w:val="24"/>
              <w:lang w:eastAsia="lt-LT"/>
            </w:rPr>
            <w:t>Lietuvos Respublikos finansų ministerijos viršininko</w:t>
          </w:r>
        </w:p>
        <w:p>
          <w:pPr>
            <w:ind w:left="4536"/>
            <w:jc w:val="both"/>
            <w:rPr>
              <w:szCs w:val="24"/>
              <w:lang w:eastAsia="lt-LT"/>
            </w:rPr>
          </w:pPr>
          <w:r>
            <w:rPr>
              <w:szCs w:val="24"/>
              <w:lang w:eastAsia="lt-LT"/>
            </w:rPr>
            <w:t xml:space="preserve">2025 m. kovo 26 d. įsakymo Nr. </w:t>
          </w:r>
          <w:r>
            <w:t>VA-23</w:t>
          </w:r>
        </w:p>
        <w:p>
          <w:pPr>
            <w:widowControl w:val="0"/>
            <w:tabs>
              <w:tab w:val="left" w:leader="dot" w:pos="851"/>
              <w:tab w:val="left" w:leader="dot" w:pos="1992"/>
              <w:tab w:val="left" w:leader="dot" w:pos="3384"/>
            </w:tabs>
            <w:spacing w:line="144" w:lineRule="atLeast"/>
            <w:ind w:firstLine="4536"/>
            <w:rPr>
              <w:color w:val="000000"/>
            </w:rPr>
          </w:pPr>
          <w:r>
            <w:rPr>
              <w:szCs w:val="24"/>
              <w:lang w:eastAsia="lt-LT"/>
            </w:rPr>
            <w:t>redakcija)</w:t>
          </w:r>
        </w:p>
        <w:p>
          <w:pPr>
            <w:widowControl w:val="0"/>
            <w:spacing w:line="144" w:lineRule="atLeast"/>
            <w:ind w:left="4395"/>
          </w:pPr>
        </w:p>
        <w:p>
          <w:pPr>
            <w:keepNext/>
            <w:spacing w:line="360" w:lineRule="auto"/>
            <w:jc w:val="center"/>
            <w:rPr>
              <w:b/>
              <w:bCs/>
              <w:szCs w:val="24"/>
            </w:rPr>
          </w:pPr>
          <w:r>
            <w:rPr>
              <w:b/>
              <w:bCs/>
              <w:szCs w:val="24"/>
            </w:rPr>
            <w:t>(Mokestinės paskolos sutarties FR0284 forma)</w:t>
          </w:r>
        </w:p>
        <w:p>
          <w:pPr>
            <w:keepNext/>
            <w:spacing w:line="360" w:lineRule="auto"/>
            <w:jc w:val="center"/>
            <w:rPr>
              <w:b/>
              <w:bCs/>
              <w:szCs w:val="24"/>
            </w:rPr>
          </w:pPr>
          <w:r>
            <w:rPr>
              <w:b/>
              <w:bCs/>
              <w:szCs w:val="24"/>
            </w:rPr>
            <w:t>MOKESTINĖS PASKOLOS SUTARTIS FR0284</w:t>
          </w:r>
        </w:p>
        <w:p>
          <w:pPr/>
        </w:p>
        <w:p>
          <w:pPr>
            <w:jc w:val="center"/>
            <w:rPr>
              <w:bCs/>
            </w:rPr>
          </w:pPr>
          <w:r>
            <w:rPr>
              <w:bCs/>
            </w:rPr>
            <w:t>20...... m. ....................... d. Nr. ..............</w:t>
          </w:r>
        </w:p>
        <w:p>
          <w:pPr>
            <w:jc w:val="center"/>
            <w:rPr>
              <w:bCs/>
            </w:rPr>
          </w:pPr>
          <w:r>
            <w:rPr>
              <w:bCs/>
            </w:rPr>
            <w:t>..................................</w:t>
          </w:r>
        </w:p>
        <w:p>
          <w:pPr>
            <w:jc w:val="center"/>
            <w:rPr>
              <w:sz w:val="16"/>
            </w:rPr>
          </w:pPr>
          <w:r>
            <w:rPr>
              <w:sz w:val="16"/>
            </w:rPr>
            <w:t>(sudarymo vieta)</w:t>
          </w:r>
        </w:p>
        <w:p>
          <w:pPr>
            <w:jc w:val="both"/>
          </w:pPr>
        </w:p>
        <w:sdt>
          <w:sdtPr>
            <w:alias w:val="preambule"/>
            <w:tag w:val="part_7f211bf5d3f247d9866d026add12c515"/>
            <w:lock w:val="sdtLocked"/>
            <w:richText/>
          </w:sdtPr>
          <w:sdtContent>
            <w:p>
              <w:pPr>
                <w:ind w:firstLine="709"/>
                <w:jc w:val="both"/>
              </w:pPr>
              <w:r>
                <w:rPr>
                  <w:color w:val="000000"/>
                  <w:szCs w:val="24"/>
                </w:rPr>
                <w:t xml:space="preserve">Valstybinė mokesčių inspekcija prie Lietuvos Respublikos finansų ministerijos (toliau ir ‒Mokesčių administratorius), veikianti pagal Valstybinės mokesčių inspekcijos prie Lietuvos Respublikos finansų ministerijos nuostatus, patvirtintus Lietuvos Respublikos finansų ministro 1997 m. liepos 29 d. įsakymu Nr. 110 </w:t>
              </w:r>
              <w:r>
                <w:rPr>
                  <w:szCs w:val="24"/>
                </w:rPr>
                <w:t>„</w:t>
              </w:r>
              <w:r>
                <w:rPr>
                  <w:bCs/>
                  <w:szCs w:val="24"/>
                  <w:shd w:val="clear" w:color="auto" w:fill="FFFFFF"/>
                </w:rPr>
                <w:t xml:space="preserve">Dėl Valstybinės mokesčių inspekcijos prie Lietuvos Respublikos finansų ministerijos nuostatų patvirtinimo“, </w:t>
              </w:r>
              <w:r>
                <w:t>atstovaujama ................................................</w:t>
              </w:r>
            </w:p>
            <w:p>
              <w:pPr/>
              <w:r>
                <w:t>...............................................................................................................................................................,</w:t>
              </w:r>
            </w:p>
            <w:p>
              <w:pPr>
                <w:ind w:left="567"/>
                <w:jc w:val="center"/>
                <w:rPr>
                  <w:sz w:val="16"/>
                  <w:szCs w:val="16"/>
                </w:rPr>
              </w:pPr>
              <w:r>
                <w:rPr>
                  <w:sz w:val="16"/>
                  <w:szCs w:val="16"/>
                </w:rPr>
                <w:t>(valstybės tarnautojo ar darbuotojo, dirbančio pagal darbo sutartį, pareigų pavadinimas, vardas, pavardė)</w:t>
              </w:r>
            </w:p>
            <w:p>
              <w:pPr>
                <w:rPr>
                  <w:sz w:val="16"/>
                  <w:szCs w:val="16"/>
                </w:rPr>
              </w:pPr>
            </w:p>
            <w:p>
              <w:pPr>
                <w:jc w:val="both"/>
              </w:pPr>
              <w:r>
                <w:t xml:space="preserve">veikiančio (-ios) pagal </w:t>
              </w:r>
              <w:r>
                <w:rPr>
                  <w:color w:val="000000"/>
                  <w:szCs w:val="24"/>
                </w:rPr>
                <w:t xml:space="preserve">Valstybinės mokesčių inspekcijos prie Lietuvos Respublikos finansų ministerijos viršininko suteiktą įgaliojimą </w:t>
              </w:r>
              <w:r>
                <w:t>iš vienos pusės, ir</w:t>
              </w:r>
            </w:p>
            <w:p>
              <w:pPr>
                <w:tabs>
                  <w:tab w:val="right" w:leader="dot" w:pos="9072"/>
                </w:tabs>
                <w:jc w:val="both"/>
                <w:rPr>
                  <w:bCs/>
                </w:rPr>
              </w:pPr>
              <w:r>
                <w:rPr>
                  <w:bCs/>
                  <w:color w:val="000000"/>
                </w:rPr>
                <w:t xml:space="preserve">mokesčių mokėtojas </w:t>
              </w:r>
              <w:r>
                <w:t>..............................................................................................................................,</w:t>
              </w:r>
            </w:p>
            <w:p>
              <w:pPr>
                <w:tabs>
                  <w:tab w:val="left" w:pos="2520"/>
                  <w:tab w:val="right" w:leader="dot" w:pos="9072"/>
                </w:tabs>
                <w:ind w:firstLine="2546"/>
                <w:rPr>
                  <w:color w:val="000000"/>
                  <w:sz w:val="16"/>
                </w:rPr>
              </w:pPr>
              <w:r>
                <w:rPr>
                  <w:color w:val="000000"/>
                  <w:sz w:val="16"/>
                </w:rPr>
                <w:t xml:space="preserve">(mokesčių mokėtojo pavadinimas arba vardas, pavardė, identifikacinis numeris (kodas), </w:t>
              </w:r>
            </w:p>
            <w:p>
              <w:pPr>
                <w:tabs>
                  <w:tab w:val="left" w:pos="2520"/>
                  <w:tab w:val="right" w:leader="dot" w:pos="9072"/>
                </w:tabs>
                <w:rPr>
                  <w:color w:val="000000"/>
                </w:rPr>
              </w:pPr>
              <w:r>
                <w:rPr>
                  <w:color w:val="000000"/>
                </w:rPr>
                <w:t>...............................................................................................................................................................</w:t>
              </w:r>
              <w:r>
                <w:t>,</w:t>
              </w:r>
            </w:p>
            <w:p>
              <w:pPr>
                <w:tabs>
                  <w:tab w:val="left" w:pos="2520"/>
                  <w:tab w:val="right" w:leader="dot" w:pos="9072"/>
                </w:tabs>
                <w:ind w:firstLine="532"/>
                <w:jc w:val="center"/>
                <w:rPr>
                  <w:color w:val="000000"/>
                  <w:sz w:val="16"/>
                  <w:szCs w:val="16"/>
                </w:rPr>
              </w:pPr>
              <w:r>
                <w:rPr>
                  <w:color w:val="000000"/>
                  <w:sz w:val="16"/>
                  <w:szCs w:val="16"/>
                </w:rPr>
                <w:t>buveinės arba gyvenamosios vietos adresas)</w:t>
              </w:r>
            </w:p>
            <w:p>
              <w:pPr/>
              <w:r>
                <w:t>atstovaujamas .......................................................................................................................................,</w:t>
              </w:r>
            </w:p>
            <w:p>
              <w:pPr>
                <w:ind w:firstLine="1482"/>
                <w:jc w:val="both"/>
                <w:rPr>
                  <w:sz w:val="16"/>
                  <w:szCs w:val="16"/>
                </w:rPr>
              </w:pPr>
              <w:r>
                <w:rPr>
                  <w:sz w:val="16"/>
                  <w:szCs w:val="16"/>
                </w:rPr>
                <w:t xml:space="preserve">(mokesčių mokėtojo atstovo, įgalioto pasirašyti sutartį, pareigų pavadinimas, vardas, pavardė) </w:t>
              </w:r>
            </w:p>
            <w:p>
              <w:pPr>
                <w:jc w:val="both"/>
              </w:pPr>
              <w:r>
                <w:t>veikiančio (-ios) pagal ...........................................................................................................................,</w:t>
              </w:r>
            </w:p>
            <w:p>
              <w:pPr>
                <w:ind w:left="1440" w:firstLine="1860"/>
                <w:jc w:val="both"/>
                <w:rPr>
                  <w:sz w:val="16"/>
                  <w:szCs w:val="16"/>
                </w:rPr>
              </w:pPr>
              <w:r>
                <w:rPr>
                  <w:sz w:val="16"/>
                  <w:szCs w:val="16"/>
                </w:rPr>
                <w:t>(įgaliojimas, pavedimas ar kt., įgaliojimo, pavedimo rekvizitai)</w:t>
              </w:r>
            </w:p>
            <w:p>
              <w:pPr>
                <w:jc w:val="both"/>
              </w:pPr>
              <w:r>
                <w:t xml:space="preserve">iš kitos pusės, sudarė Mokestinės paskolos sutartį, </w:t>
              </w:r>
              <w:r>
                <w:rPr>
                  <w:color w:val="000000"/>
                  <w:szCs w:val="24"/>
                </w:rPr>
                <w:t>kurios formą tvirtina Valstybinės mokesčių inspekcijos prie Lietuvos Respublikos finansų ministerijos viršininkas</w:t>
              </w:r>
              <w:r>
                <w:t xml:space="preserve"> (toliau – Sutartis), pagal kurią: </w:t>
              </w:r>
            </w:p>
          </w:sdtContent>
        </w:sdt>
        <w:sdt>
          <w:sdtPr>
            <w:alias w:val="1 p."/>
            <w:tag w:val="part_7933d61aa93e41658d0e1e038d2acfc1"/>
            <w:lock w:val="sdtLocked"/>
            <w:richText/>
          </w:sdtPr>
          <w:sdtContent>
            <w:p>
              <w:pPr>
                <w:tabs>
                  <w:tab w:val="left" w:pos="0"/>
                  <w:tab w:val="left" w:pos="993"/>
                </w:tabs>
                <w:ind w:firstLine="709"/>
                <w:jc w:val="both"/>
              </w:pPr>
              <w:sdt>
                <w:sdtPr>
                  <w:alias w:val="Numeris"/>
                  <w:tag w:val="nr_7933d61aa93e41658d0e1e038d2acfc1"/>
                  <w:lock w:val="sdtLocked"/>
                  <w:richText/>
                </w:sdtPr>
                <w:sdtContent>
                  <w:r>
                    <w:rPr>
                      <w:szCs w:val="24"/>
                    </w:rPr>
                    <w:t>1</w:t>
                  </w:r>
                </w:sdtContent>
              </w:sdt>
              <w:r>
                <w:rPr>
                  <w:szCs w:val="24"/>
                </w:rPr>
                <w:t>.</w:t>
                <w:tab/>
              </w:r>
              <w:r>
                <w:t xml:space="preserve">Vadovaujantis Lietuvos Respublikos mokesčių administravimo įstatymo (toliau – MAĮ) 14 straipsnio 7 dalimi ir 88 straipsniu, Mokestinės nepriemokos ar baudos už administracinį nusižengimą mokėjimo atidėjimo </w:t>
              </w:r>
              <w:r>
                <w:rPr>
                  <w:spacing w:val="10"/>
                </w:rPr>
                <w:t xml:space="preserve">ir (ar) išdėstymo taisyklėmis, </w:t>
              </w:r>
              <w:r>
                <w:rPr>
                  <w:spacing w:val="10"/>
                  <w:szCs w:val="24"/>
                </w:rPr>
                <w:t xml:space="preserve">patvirtintomis </w:t>
              </w:r>
              <w:r>
                <w:rPr>
                  <w:szCs w:val="24"/>
                </w:rPr>
                <w:t>Valstybinės mokesčių inspekcijos prie Lietuvos Respublikos finansų ministerijos viršininko 2024 m. spalio 23 d. įsakymu Nr. VA-83 „</w:t>
              </w:r>
              <w:r>
                <w:rPr>
                  <w:color w:val="000000"/>
                  <w:szCs w:val="24"/>
                </w:rPr>
                <w:t>Dėl Mokestinės nepriemokos ar baudos už administracinį nusižengimą mokėjimo atidėjimo ir (ar) išdėstymo taisyklių ir formų patvirtinimo“</w:t>
              </w:r>
              <w:r>
                <w:t xml:space="preserve"> (toliau – Taisyklės),</w:t>
              </w:r>
            </w:p>
            <w:p>
              <w:pPr>
                <w:jc w:val="both"/>
              </w:pPr>
              <w:r>
                <w:t>...............................................................................................................................................................,</w:t>
              </w:r>
            </w:p>
            <w:p>
              <w:pPr>
                <w:ind w:left="2880" w:firstLine="381"/>
              </w:pPr>
              <w:r>
                <w:rPr>
                  <w:sz w:val="16"/>
                  <w:szCs w:val="16"/>
                </w:rPr>
                <w:t>(dokumento sudarytojo pavadinimas)</w:t>
              </w:r>
            </w:p>
            <w:p>
              <w:pPr/>
              <w:r>
                <w:t>...............................................................................................................................................................,</w:t>
              </w:r>
            </w:p>
            <w:p>
              <w:pPr>
                <w:jc w:val="center"/>
              </w:pPr>
              <w:r>
                <w:rPr>
                  <w:sz w:val="16"/>
                </w:rPr>
                <w:t>(sprendimo</w:t>
              </w:r>
              <w:r>
                <w:t xml:space="preserve"> </w:t>
              </w:r>
              <w:r>
                <w:rPr>
                  <w:sz w:val="16"/>
                </w:rPr>
                <w:t>pavadinimas, data ir numeris)</w:t>
              </w:r>
            </w:p>
            <w:p>
              <w:pPr>
                <w:jc w:val="both"/>
              </w:pPr>
              <w:r>
                <w:t>toliau nurodytos mokestinės nepriemokos / baudos už administracinį nusižengimą (toliau – AN bauda) mokėjimo terminas atidedamas ir (ar) išdėstomas nurodytam laikotarpiui.</w:t>
              </w:r>
            </w:p>
            <w:p>
              <w:pPr>
                <w:rPr>
                  <w:sz w:val="14"/>
                  <w:szCs w:val="14"/>
                </w:rPr>
              </w:pPr>
            </w:p>
            <w:p>
              <w:pPr>
                <w:tabs>
                  <w:tab w:val="center" w:pos="4680"/>
                  <w:tab w:val="right" w:leader="dot" w:pos="9072"/>
                  <w:tab w:val="right" w:pos="9360"/>
                </w:tabs>
                <w:rPr>
                  <w:szCs w:val="24"/>
                  <w:lang w:eastAsia="lt-LT"/>
                </w:rPr>
              </w:pPr>
              <w:r>
                <w:rPr>
                  <w:szCs w:val="24"/>
                  <w:lang w:eastAsia="lt-LT"/>
                </w:rPr>
                <w:t>Išdėstymo ir (ar) atidėjimo laikotarpis</w:t>
              </w:r>
              <w:r>
                <w:rPr>
                  <w:sz w:val="22"/>
                  <w:szCs w:val="22"/>
                  <w:lang w:eastAsia="lt-LT"/>
                </w:rPr>
                <w:t xml:space="preserve"> </w:t>
              </w:r>
              <w:r>
                <w:rPr>
                  <w:szCs w:val="24"/>
                  <w:lang w:eastAsia="lt-LT"/>
                </w:rPr>
                <w:t>..................................................................................................</w:t>
              </w:r>
            </w:p>
            <w:p>
              <w:pPr>
                <w:tabs>
                  <w:tab w:val="center" w:pos="4680"/>
                  <w:tab w:val="right" w:leader="dot" w:pos="9072"/>
                  <w:tab w:val="right" w:pos="9360"/>
                </w:tabs>
                <w:ind w:left="3119" w:firstLine="567"/>
                <w:jc w:val="both"/>
                <w:rPr>
                  <w:sz w:val="16"/>
                  <w:szCs w:val="22"/>
                  <w:lang w:eastAsia="lt-LT"/>
                </w:rPr>
              </w:pPr>
              <w:r>
                <w:rPr>
                  <w:sz w:val="16"/>
                  <w:szCs w:val="22"/>
                  <w:lang w:eastAsia="lt-LT"/>
                </w:rPr>
                <w:t xml:space="preserve">(nurodyti laikotarpį nuo–iki, jei mokestinės nepriemokos / AN baudos mokėjimo </w:t>
              </w:r>
            </w:p>
            <w:p>
              <w:pPr>
                <w:tabs>
                  <w:tab w:val="center" w:pos="4680"/>
                  <w:tab w:val="right" w:leader="dot" w:pos="9072"/>
                  <w:tab w:val="right" w:pos="9360"/>
                </w:tabs>
                <w:ind w:left="3686"/>
                <w:jc w:val="both"/>
                <w:rPr>
                  <w:sz w:val="16"/>
                  <w:szCs w:val="22"/>
                  <w:lang w:eastAsia="lt-LT"/>
                </w:rPr>
              </w:pPr>
              <w:r>
                <w:rPr>
                  <w:sz w:val="16"/>
                  <w:szCs w:val="22"/>
                  <w:lang w:eastAsia="lt-LT"/>
                </w:rPr>
                <w:t>išdėstymo atveju įmokų mokėjimo pradžia atidedama, nurodyti datą, iki kada ji atidedama)</w:t>
              </w:r>
            </w:p>
            <w:p>
              <w:pPr>
                <w:tabs>
                  <w:tab w:val="center" w:pos="4680"/>
                  <w:tab w:val="right" w:leader="dot" w:pos="9072"/>
                  <w:tab w:val="right" w:pos="9360"/>
                </w:tabs>
                <w:jc w:val="both"/>
                <w:rPr>
                  <w:sz w:val="16"/>
                  <w:szCs w:val="22"/>
                  <w:lang w:eastAsia="lt-LT"/>
                </w:rPr>
              </w:pPr>
            </w:p>
            <w:tbl>
              <w:tblPr>
                <w:tblW w:w="97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50"/>
                <w:gridCol w:w="1843"/>
                <w:gridCol w:w="3401"/>
                <w:gridCol w:w="2916"/>
              </w:tblGrid>
              <w:tr>
                <w:tc>
                  <w:tcPr>
                    <w:tcW w:w="1550"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Įmokos kodas</w:t>
                    </w:r>
                  </w:p>
                </w:tc>
                <w:tc>
                  <w:tcPr>
                    <w:tcW w:w="1843"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Prievolės tipas</w:t>
                    </w:r>
                  </w:p>
                </w:tc>
                <w:tc>
                  <w:tcPr>
                    <w:tcW w:w="3401"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 xml:space="preserve">Deklaracijos / Sprendimo dėl </w:t>
                    </w:r>
                  </w:p>
                  <w:p>
                    <w:pPr>
                      <w:tabs>
                        <w:tab w:val="center" w:pos="4680"/>
                        <w:tab w:val="right" w:leader="dot" w:pos="9072"/>
                        <w:tab w:val="right" w:pos="9360"/>
                      </w:tabs>
                      <w:jc w:val="center"/>
                      <w:rPr>
                        <w:szCs w:val="24"/>
                        <w:lang w:eastAsia="lt-LT"/>
                      </w:rPr>
                    </w:pPr>
                    <w:r>
                      <w:rPr>
                        <w:szCs w:val="24"/>
                        <w:lang w:eastAsia="lt-LT"/>
                      </w:rPr>
                      <w:t>patikrinimo akto tvirtinimo / Nutarimo data</w:t>
                    </w:r>
                  </w:p>
                </w:tc>
                <w:tc>
                  <w:tcPr>
                    <w:tcW w:w="2916"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Suma</w:t>
                    </w:r>
                  </w:p>
                </w:tc>
              </w:tr>
              <w:tr>
                <w:tc>
                  <w:tcPr>
                    <w:tcW w:w="1550" w:type="dxa"/>
                    <w:tcBorders>
                      <w:top w:val="single" w:sz="4" w:space="0" w:color="auto"/>
                      <w:bottom w:val="single" w:sz="4" w:space="0" w:color="auto"/>
                      <w:right w:val="single" w:sz="4" w:space="0" w:color="auto"/>
                    </w:tcBorders>
                  </w:tcPr>
                  <w:p>
                    <w:pPr>
                      <w:tabs>
                        <w:tab w:val="right" w:leader="dot" w:pos="1550"/>
                        <w:tab w:val="center" w:pos="1833"/>
                        <w:tab w:val="center" w:pos="4680"/>
                        <w:tab w:val="right" w:pos="9360"/>
                      </w:tabs>
                      <w:rPr>
                        <w:szCs w:val="24"/>
                        <w:lang w:eastAsia="lt-LT"/>
                      </w:rPr>
                    </w:pPr>
                  </w:p>
                </w:tc>
                <w:tc>
                  <w:tcPr>
                    <w:tcW w:w="1843" w:type="dxa"/>
                    <w:tcBorders>
                      <w:top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c>
                  <w:tcPr>
                    <w:tcW w:w="3401" w:type="dxa"/>
                    <w:tcBorders>
                      <w:top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c>
                  <w:tcPr>
                    <w:tcW w:w="2916" w:type="dxa"/>
                    <w:tcBorders>
                      <w:top w:val="single" w:sz="4" w:space="0" w:color="auto"/>
                      <w:left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r>
              <w:tr>
                <w:tc>
                  <w:tcPr>
                    <w:tcW w:w="1550" w:type="dxa"/>
                    <w:tcBorders>
                      <w:top w:val="single" w:sz="4" w:space="0" w:color="auto"/>
                      <w:bottom w:val="single" w:sz="4" w:space="0" w:color="auto"/>
                      <w:right w:val="single" w:sz="4" w:space="0" w:color="auto"/>
                    </w:tcBorders>
                  </w:tcPr>
                  <w:p>
                    <w:pPr>
                      <w:tabs>
                        <w:tab w:val="right" w:leader="dot" w:pos="1550"/>
                        <w:tab w:val="center" w:pos="1833"/>
                        <w:tab w:val="center" w:pos="4680"/>
                        <w:tab w:val="right" w:pos="9360"/>
                      </w:tabs>
                      <w:rPr>
                        <w:szCs w:val="24"/>
                        <w:lang w:eastAsia="lt-LT"/>
                      </w:rPr>
                    </w:pPr>
                  </w:p>
                </w:tc>
                <w:tc>
                  <w:tcPr>
                    <w:tcW w:w="1843" w:type="dxa"/>
                    <w:tcBorders>
                      <w:top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c>
                  <w:tcPr>
                    <w:tcW w:w="3401" w:type="dxa"/>
                    <w:tcBorders>
                      <w:top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c>
                  <w:tcPr>
                    <w:tcW w:w="2916" w:type="dxa"/>
                    <w:tcBorders>
                      <w:top w:val="single" w:sz="4" w:space="0" w:color="auto"/>
                      <w:left w:val="single" w:sz="4" w:space="0" w:color="auto"/>
                      <w:bottom w:val="single" w:sz="4" w:space="0" w:color="auto"/>
                      <w:right w:val="single" w:sz="4" w:space="0" w:color="auto"/>
                    </w:tcBorders>
                  </w:tcPr>
                  <w:p>
                    <w:pPr>
                      <w:tabs>
                        <w:tab w:val="right" w:leader="dot" w:pos="1550"/>
                        <w:tab w:val="center" w:pos="4680"/>
                        <w:tab w:val="right" w:pos="9360"/>
                      </w:tabs>
                      <w:rPr>
                        <w:szCs w:val="24"/>
                        <w:lang w:eastAsia="lt-LT"/>
                      </w:rPr>
                    </w:pPr>
                  </w:p>
                </w:tc>
              </w:tr>
            </w:tbl>
            <w:p>
              <w:pPr>
                <w:tabs>
                  <w:tab w:val="center" w:pos="4680"/>
                  <w:tab w:val="center" w:pos="5400"/>
                  <w:tab w:val="left" w:pos="7200"/>
                  <w:tab w:val="right" w:pos="9360"/>
                  <w:tab w:val="right" w:leader="dot" w:pos="10260"/>
                </w:tabs>
                <w:rPr>
                  <w:bCs/>
                  <w:szCs w:val="24"/>
                  <w:lang w:eastAsia="lt-LT"/>
                </w:rPr>
              </w:pPr>
            </w:p>
            <w:p>
              <w:pPr>
                <w:tabs>
                  <w:tab w:val="center" w:pos="4680"/>
                  <w:tab w:val="center" w:pos="5400"/>
                  <w:tab w:val="left" w:pos="7200"/>
                  <w:tab w:val="right" w:pos="9360"/>
                  <w:tab w:val="right" w:leader="dot" w:pos="10260"/>
                </w:tabs>
                <w:rPr>
                  <w:szCs w:val="24"/>
                  <w:lang w:eastAsia="lt-LT"/>
                </w:rPr>
              </w:pPr>
              <w:r>
                <w:rPr>
                  <w:szCs w:val="24"/>
                  <w:lang w:eastAsia="lt-LT"/>
                </w:rPr>
                <w:t>Bendra suma..................................................................................................................................</w:t>
              </w:r>
            </w:p>
            <w:p>
              <w:pPr>
                <w:tabs>
                  <w:tab w:val="center" w:pos="4680"/>
                  <w:tab w:val="center" w:pos="5400"/>
                  <w:tab w:val="left" w:pos="7200"/>
                  <w:tab w:val="right" w:pos="9360"/>
                  <w:tab w:val="right" w:leader="dot" w:pos="10260"/>
                </w:tabs>
                <w:rPr>
                  <w:b/>
                  <w:sz w:val="22"/>
                  <w:szCs w:val="22"/>
                  <w:lang w:eastAsia="lt-LT"/>
                </w:rPr>
              </w:pPr>
              <w:r>
                <w:rPr>
                  <w:b/>
                  <w:sz w:val="22"/>
                  <w:szCs w:val="22"/>
                  <w:lang w:eastAsia="lt-LT"/>
                </w:rPr>
                <w:tab/>
                <w:t xml:space="preserve">                    </w:t>
              </w:r>
              <w:r>
                <w:rPr>
                  <w:sz w:val="16"/>
                  <w:szCs w:val="22"/>
                  <w:lang w:eastAsia="lt-LT"/>
                </w:rPr>
                <w:t>(atidedamos ir (ar) išdėstomos mokestinės nepriemokos / AN baudos suma skaitmenimis ir žodžiais)</w:t>
              </w:r>
            </w:p>
            <w:p>
              <w:pPr>
                <w:tabs>
                  <w:tab w:val="center" w:pos="4680"/>
                  <w:tab w:val="right" w:leader="dot" w:pos="9072"/>
                  <w:tab w:val="right" w:pos="9360"/>
                </w:tabs>
                <w:rPr>
                  <w:szCs w:val="24"/>
                  <w:lang w:eastAsia="lt-LT"/>
                </w:rPr>
              </w:pPr>
              <w:r>
                <w:rPr>
                  <w:szCs w:val="24"/>
                  <w:lang w:eastAsia="lt-LT"/>
                </w:rPr>
                <w:t>......................................................................................................................................................</w:t>
              </w:r>
            </w:p>
            <w:p>
              <w:pPr>
                <w:tabs>
                  <w:tab w:val="center" w:pos="4680"/>
                  <w:tab w:val="right" w:leader="dot" w:pos="9072"/>
                  <w:tab w:val="right" w:pos="9360"/>
                </w:tabs>
                <w:rPr>
                  <w:szCs w:val="24"/>
                  <w:lang w:eastAsia="lt-LT"/>
                </w:rPr>
              </w:pPr>
            </w:p>
          </w:sdtContent>
        </w:sdt>
        <w:sdt>
          <w:sdtPr>
            <w:alias w:val="2 p."/>
            <w:tag w:val="part_f3614307b12442d8b3646a64f3d2519c"/>
            <w:lock w:val="sdtLocked"/>
            <w:richText/>
          </w:sdtPr>
          <w:sdtContent>
            <w:p>
              <w:pPr>
                <w:tabs>
                  <w:tab w:val="left" w:pos="567"/>
                  <w:tab w:val="center" w:pos="993"/>
                  <w:tab w:val="right" w:leader="dot" w:pos="9072"/>
                  <w:tab w:val="right" w:pos="9360"/>
                </w:tabs>
                <w:ind w:firstLine="709"/>
                <w:jc w:val="both"/>
                <w:rPr>
                  <w:sz w:val="22"/>
                  <w:szCs w:val="24"/>
                  <w:lang w:eastAsia="lt-LT"/>
                </w:rPr>
              </w:pPr>
              <w:sdt>
                <w:sdtPr>
                  <w:alias w:val="Numeris"/>
                  <w:tag w:val="nr_f3614307b12442d8b3646a64f3d2519c"/>
                  <w:lock w:val="sdtLocked"/>
                  <w:richText/>
                </w:sdtPr>
                <w:sdtContent>
                  <w:r>
                    <w:rPr>
                      <w:szCs w:val="24"/>
                      <w:lang w:eastAsia="lt-LT"/>
                    </w:rPr>
                    <w:t>2</w:t>
                  </w:r>
                </w:sdtContent>
              </w:sdt>
              <w:r>
                <w:rPr>
                  <w:szCs w:val="24"/>
                  <w:lang w:eastAsia="lt-LT"/>
                </w:rPr>
                <w:t xml:space="preserve">. </w:t>
                <w:tab/>
                <w:t>Mokesčių mokėtojas įsipareigoja Sutarties 1 punkte nurodytą mokestinę nepriemoką / AN baudą sumokėti pagal Sutarties grafiką, kurio forma yra Sutarties priedas (toliau – Sutarties grafikas), kuris yra neatsiejama Sutarties dalis.</w:t>
              </w:r>
            </w:p>
            <w:p>
              <w:pPr>
                <w:rPr>
                  <w:sz w:val="14"/>
                  <w:szCs w:val="14"/>
                </w:rPr>
              </w:pPr>
            </w:p>
          </w:sdtContent>
        </w:sdt>
        <w:sdt>
          <w:sdtPr>
            <w:alias w:val="3 p."/>
            <w:tag w:val="part_0ba19a8ca0ab4355bdd07dba476664cc"/>
            <w:lock w:val="sdtLocked"/>
            <w:richText/>
          </w:sdtPr>
          <w:sdtContent>
            <w:p>
              <w:pPr>
                <w:tabs>
                  <w:tab w:val="left" w:pos="720"/>
                  <w:tab w:val="left" w:pos="993"/>
                </w:tabs>
                <w:ind w:left="2912" w:hanging="2203"/>
                <w:jc w:val="both"/>
                <w:rPr>
                  <w:szCs w:val="24"/>
                </w:rPr>
              </w:pPr>
              <w:sdt>
                <w:sdtPr>
                  <w:alias w:val="Numeris"/>
                  <w:tag w:val="nr_0ba19a8ca0ab4355bdd07dba476664cc"/>
                  <w:lock w:val="sdtLocked"/>
                  <w:richText/>
                </w:sdtPr>
                <w:sdtContent>
                  <w:r>
                    <w:rPr>
                      <w:szCs w:val="24"/>
                    </w:rPr>
                    <w:t>3</w:t>
                  </w:r>
                </w:sdtContent>
              </w:sdt>
              <w:r>
                <w:rPr>
                  <w:szCs w:val="24"/>
                </w:rPr>
                <w:t>.</w:t>
                <w:tab/>
                <w:t>Mokestinės nepriemokos sumokėjimas užtikrinamas:</w:t>
              </w:r>
            </w:p>
            <w:p>
              <w:pPr>
                <w:tabs>
                  <w:tab w:val="left" w:pos="2520"/>
                  <w:tab w:val="right" w:leader="dot" w:pos="9072"/>
                </w:tabs>
                <w:rPr>
                  <w:color w:val="000000"/>
                </w:rPr>
              </w:pPr>
              <w:r>
                <w:rPr>
                  <w:color w:val="000000"/>
                </w:rPr>
                <w:t>.......................................................................................................................................................</w:t>
              </w:r>
            </w:p>
            <w:p>
              <w:pPr>
                <w:ind w:firstLine="318"/>
                <w:jc w:val="both"/>
                <w:rPr>
                  <w:sz w:val="16"/>
                </w:rPr>
              </w:pPr>
              <w:r>
                <w:rPr>
                  <w:sz w:val="16"/>
                </w:rPr>
                <w:t>(nurodomos mokestinės prievolės įvykdymą užtikrinančios priemonės, pvz., turto</w:t>
              </w:r>
              <w:r>
                <w:rPr>
                  <w:sz w:val="20"/>
                </w:rPr>
                <w:t xml:space="preserve"> </w:t>
              </w:r>
              <w:r>
                <w:rPr>
                  <w:sz w:val="16"/>
                </w:rPr>
                <w:t>įkeitimas, laidavimas, garantija, hipoteka ir pan.)</w:t>
              </w:r>
            </w:p>
            <w:p>
              <w:pPr>
                <w:tabs>
                  <w:tab w:val="left" w:pos="2520"/>
                  <w:tab w:val="right" w:leader="dot" w:pos="9072"/>
                </w:tabs>
                <w:rPr>
                  <w:color w:val="000000"/>
                </w:rPr>
              </w:pPr>
              <w:r>
                <w:rPr>
                  <w:color w:val="000000"/>
                </w:rPr>
                <w:t>......................................................................................................................................................</w:t>
              </w:r>
              <w:r>
                <w:t>.</w:t>
              </w:r>
            </w:p>
            <w:p>
              <w:pPr>
                <w:rPr>
                  <w:sz w:val="14"/>
                  <w:szCs w:val="14"/>
                </w:rPr>
              </w:pPr>
            </w:p>
          </w:sdtContent>
        </w:sdt>
        <w:sdt>
          <w:sdtPr>
            <w:alias w:val="4 p."/>
            <w:tag w:val="part_c8bcd3c2850c41da9d95417830b83718"/>
            <w:lock w:val="sdtLocked"/>
            <w:richText/>
          </w:sdtPr>
          <w:sdtContent>
            <w:p>
              <w:pPr>
                <w:tabs>
                  <w:tab w:val="left" w:pos="0"/>
                  <w:tab w:val="left" w:pos="993"/>
                </w:tabs>
                <w:ind w:firstLine="709"/>
                <w:jc w:val="both"/>
              </w:pPr>
              <w:sdt>
                <w:sdtPr>
                  <w:alias w:val="Numeris"/>
                  <w:tag w:val="nr_c8bcd3c2850c41da9d95417830b83718"/>
                  <w:lock w:val="sdtLocked"/>
                  <w:richText/>
                </w:sdtPr>
                <w:sdtContent>
                  <w:r>
                    <w:rPr>
                      <w:szCs w:val="24"/>
                    </w:rPr>
                    <w:t>4</w:t>
                  </w:r>
                </w:sdtContent>
              </w:sdt>
              <w:r>
                <w:rPr>
                  <w:szCs w:val="24"/>
                </w:rPr>
                <w:t>.</w:t>
                <w:tab/>
              </w:r>
              <w:r>
                <w:t xml:space="preserve">Mokesčių mokėtojas už suteiktą mokestinę paskolą moka palūkanas, kurių dydį nustato finansų ministras. Palūkanos mokamos Sutarties grafike nurodytais terminais. Pavėluotai, t. y. pažeidus Sutarties grafiką, mokant atidėtos ir (ar) išdėstytos mokestinės nepriemokos įmokas, skaičiuojamos padidintos palūkanos, o pavėluotai mokant palūkanų sumas, skaičiuojami palūkanų delspinigiai (pagal Taisyklių 49 punktą). </w:t>
              </w:r>
            </w:p>
            <w:p>
              <w:pPr>
                <w:rPr>
                  <w:sz w:val="14"/>
                  <w:szCs w:val="14"/>
                </w:rPr>
              </w:pPr>
            </w:p>
          </w:sdtContent>
        </w:sdt>
        <w:sdt>
          <w:sdtPr>
            <w:alias w:val="5 p."/>
            <w:tag w:val="part_d002d28a328b45de86ae11286568bb8d"/>
            <w:lock w:val="sdtLocked"/>
            <w:richText/>
          </w:sdtPr>
          <w:sdtContent>
            <w:p>
              <w:pPr>
                <w:tabs>
                  <w:tab w:val="left" w:pos="0"/>
                  <w:tab w:val="left" w:pos="720"/>
                  <w:tab w:val="left" w:pos="993"/>
                </w:tabs>
                <w:ind w:firstLine="709"/>
                <w:jc w:val="both"/>
              </w:pPr>
              <w:sdt>
                <w:sdtPr>
                  <w:alias w:val="Numeris"/>
                  <w:tag w:val="nr_d002d28a328b45de86ae11286568bb8d"/>
                  <w:lock w:val="sdtLocked"/>
                  <w:richText/>
                </w:sdtPr>
                <w:sdtContent>
                  <w:r>
                    <w:rPr>
                      <w:szCs w:val="24"/>
                    </w:rPr>
                    <w:t>5</w:t>
                  </w:r>
                </w:sdtContent>
              </w:sdt>
              <w:r>
                <w:rPr>
                  <w:szCs w:val="24"/>
                </w:rPr>
                <w:t>.</w:t>
                <w:tab/>
              </w:r>
              <w:r>
                <w:t xml:space="preserve">Pasikeitus palūkanų dydžiui, nuo atitinkamo ketvirčio pirmos dienos turi būti perskaičiuojamos ir mokamos pakeistos palūkanos. Apie tai mokesčių mokėtojas bus informuotas per Valstybinės mokesčių inspekcijos portalo e. VMI autorizuotų elektroninių paslaugų sritį Mano VMI Pranešimu apie mokėtinas palūkanas, kurio forma FR0556 patvirtinta Valstybinės mokesčių inspekcijos prie Lietuvos Respublikos finansų ministerijos viršininko </w:t>
              </w:r>
              <w:r>
                <w:rPr>
                  <w:szCs w:val="24"/>
                </w:rPr>
                <w:t>2024 m. spalio 23 d. įsakymu Nr. VA-83 „</w:t>
              </w:r>
              <w:r>
                <w:rPr>
                  <w:color w:val="000000"/>
                  <w:szCs w:val="24"/>
                </w:rPr>
                <w:t>Dėl Mokestinės nepriemokos ar baudos už administracinį nusižengimą mokėjimo atidėjimo ir (ar) išdėstymo taisyklių ir formų patvirtinimo“</w:t>
              </w:r>
              <w:r>
                <w:t>.</w:t>
              </w:r>
            </w:p>
            <w:p>
              <w:pPr>
                <w:rPr>
                  <w:sz w:val="14"/>
                  <w:szCs w:val="14"/>
                </w:rPr>
              </w:pPr>
            </w:p>
          </w:sdtContent>
        </w:sdt>
        <w:sdt>
          <w:sdtPr>
            <w:alias w:val="6 p."/>
            <w:tag w:val="part_c68b1efec73443878f070eec85e092b4"/>
            <w:lock w:val="sdtLocked"/>
            <w:richText/>
          </w:sdtPr>
          <w:sdtContent>
            <w:p>
              <w:pPr>
                <w:tabs>
                  <w:tab w:val="left" w:pos="0"/>
                  <w:tab w:val="left" w:pos="720"/>
                  <w:tab w:val="left" w:pos="993"/>
                </w:tabs>
                <w:ind w:firstLine="709"/>
                <w:jc w:val="both"/>
              </w:pPr>
              <w:sdt>
                <w:sdtPr>
                  <w:alias w:val="Numeris"/>
                  <w:tag w:val="nr_c68b1efec73443878f070eec85e092b4"/>
                  <w:lock w:val="sdtLocked"/>
                  <w:richText/>
                </w:sdtPr>
                <w:sdtContent>
                  <w:r>
                    <w:rPr>
                      <w:szCs w:val="24"/>
                    </w:rPr>
                    <w:t>6</w:t>
                  </w:r>
                </w:sdtContent>
              </w:sdt>
              <w:r>
                <w:rPr>
                  <w:szCs w:val="24"/>
                </w:rPr>
                <w:t>.</w:t>
                <w:tab/>
              </w:r>
              <w:r>
                <w:t xml:space="preserve">Atsiskaitant pagal Sutartį, sumokėtos įmokos įskaitomos pagal </w:t>
              </w:r>
              <w:r>
                <w:rPr>
                  <w:bCs/>
                  <w:color w:val="000000"/>
                  <w:szCs w:val="24"/>
                </w:rPr>
                <w:t xml:space="preserve">Mokesčių mokėtojo sumokėtų sumų įskaitymo ir mokėjimo prievolių dydžių skirtumo pagal patikslintus mokėjimo prievolių dokumentus tvarkymo taisyklių, patvirtintų </w:t>
              </w:r>
              <w:r>
                <w:rPr>
                  <w:color w:val="000000"/>
                  <w:szCs w:val="24"/>
                  <w:lang w:eastAsia="lt-LT"/>
                </w:rPr>
                <w:t>Valstybinės mokesčių inspekcijos prie Lietuvos Respublikos finansų ministerijos viršininko 2004 m. gruodžio 20 d. įsakymu Nr. VA-193 „</w:t>
              </w:r>
              <w:r>
                <w:rPr>
                  <w:bCs/>
                  <w:color w:val="000000"/>
                  <w:szCs w:val="24"/>
                  <w:shd w:val="clear" w:color="auto" w:fill="FFFFFF"/>
                </w:rPr>
                <w:t>Dėl Mokesčių mokėtojo sumokėtų sumų įskaitymo ir mokėjimo prievolių dydžių skirtumo pagal patikslintus mokėjimo prievolių dokumentus tvarkymo taisyklių patvirtinimo“,</w:t>
              </w:r>
              <w:r>
                <w:t xml:space="preserve"> nuostatas.</w:t>
              </w:r>
            </w:p>
            <w:p>
              <w:pPr>
                <w:rPr>
                  <w:sz w:val="14"/>
                  <w:szCs w:val="14"/>
                </w:rPr>
              </w:pPr>
            </w:p>
          </w:sdtContent>
        </w:sdt>
        <w:sdt>
          <w:sdtPr>
            <w:alias w:val="7 p."/>
            <w:tag w:val="part_4d6ba385debf41f2b3f7aff3d457e60b"/>
            <w:lock w:val="sdtLocked"/>
            <w:richText/>
          </w:sdtPr>
          <w:sdtContent>
            <w:p>
              <w:pPr>
                <w:tabs>
                  <w:tab w:val="left" w:pos="0"/>
                  <w:tab w:val="left" w:pos="720"/>
                  <w:tab w:val="left" w:pos="993"/>
                </w:tabs>
                <w:ind w:firstLine="709"/>
                <w:jc w:val="both"/>
              </w:pPr>
              <w:sdt>
                <w:sdtPr>
                  <w:alias w:val="Numeris"/>
                  <w:tag w:val="nr_4d6ba385debf41f2b3f7aff3d457e60b"/>
                  <w:lock w:val="sdtLocked"/>
                  <w:richText/>
                </w:sdtPr>
                <w:sdtContent>
                  <w:r>
                    <w:rPr>
                      <w:szCs w:val="24"/>
                    </w:rPr>
                    <w:t>7</w:t>
                  </w:r>
                </w:sdtContent>
              </w:sdt>
              <w:r>
                <w:rPr>
                  <w:szCs w:val="24"/>
                </w:rPr>
                <w:t>.</w:t>
                <w:tab/>
              </w:r>
              <w:r>
                <w:t xml:space="preserve">Sutartis gali būti pakeista, jei yra priimtas Sprendimas pakeisti Sprendimą atidėti / išdėstyti mokestinės nepriemokos / baudos už administracinį nusižengimą mokėjimą, kurio forma FR0287 patvirtinta Valstybinės mokesčių inspekcijos prie Lietuvos Respublikos finansų ministerijos viršininko </w:t>
              </w:r>
              <w:r>
                <w:rPr>
                  <w:szCs w:val="24"/>
                </w:rPr>
                <w:t>2024 m. spalio 23 d. įsakymu Nr. VA-83 „</w:t>
              </w:r>
              <w:r>
                <w:rPr>
                  <w:color w:val="000000"/>
                  <w:szCs w:val="24"/>
                </w:rPr>
                <w:t>Dėl Mokestinės nepriemokos ar baudos už administracinį nusižengimą mokėjimo atidėjimo ir (ar) išdėstymo taisyklių ir formų patvirtinimo“</w:t>
              </w:r>
              <w:r>
                <w:t xml:space="preserve"> (pagal Taisyklių </w:t>
              </w:r>
              <w:r>
                <w:rPr>
                  <w:lang w:val="en-US"/>
                </w:rPr>
                <w:t xml:space="preserve">50 </w:t>
              </w:r>
              <w:r>
                <w:t>punktą).</w:t>
              </w:r>
            </w:p>
            <w:p>
              <w:pPr>
                <w:rPr>
                  <w:sz w:val="14"/>
                  <w:szCs w:val="14"/>
                </w:rPr>
              </w:pPr>
            </w:p>
          </w:sdtContent>
        </w:sdt>
        <w:sdt>
          <w:sdtPr>
            <w:alias w:val="8 p."/>
            <w:tag w:val="part_4de9d1e290714e1dab671555cf61e698"/>
            <w:lock w:val="sdtLocked"/>
            <w:richText/>
          </w:sdtPr>
          <w:sdtContent>
            <w:p>
              <w:pPr>
                <w:tabs>
                  <w:tab w:val="left" w:pos="0"/>
                  <w:tab w:val="left" w:pos="993"/>
                </w:tabs>
                <w:ind w:firstLine="709"/>
                <w:jc w:val="both"/>
              </w:pPr>
              <w:sdt>
                <w:sdtPr>
                  <w:alias w:val="Numeris"/>
                  <w:tag w:val="nr_4de9d1e290714e1dab671555cf61e698"/>
                  <w:lock w:val="sdtLocked"/>
                  <w:richText/>
                </w:sdtPr>
                <w:sdtContent>
                  <w:r>
                    <w:rPr>
                      <w:szCs w:val="24"/>
                    </w:rPr>
                    <w:t>8</w:t>
                  </w:r>
                </w:sdtContent>
              </w:sdt>
              <w:r>
                <w:rPr>
                  <w:szCs w:val="24"/>
                </w:rPr>
                <w:t>.</w:t>
                <w:tab/>
              </w:r>
              <w:r>
                <w:t>Keičiant Sutartį, palūkanos, padidintos palūkanos, palūkanų delspinigiai apskaičiuojami iki paskutinės dienos, po kurios bus pasirašyta nauja Mokestinės paskolos sutartis,</w:t>
              </w:r>
              <w:r>
                <w:rPr>
                  <w:color w:val="000000"/>
                  <w:szCs w:val="24"/>
                </w:rPr>
                <w:t xml:space="preserve"> kurios formą tvirtina Valstybinės mokesčių inspekcijos prie Lietuvos Respublikos finansų ministerijos viršininkas</w:t>
              </w:r>
              <w:r>
                <w:t>.</w:t>
              </w:r>
            </w:p>
            <w:p>
              <w:pPr>
                <w:rPr>
                  <w:sz w:val="14"/>
                  <w:szCs w:val="14"/>
                </w:rPr>
              </w:pPr>
            </w:p>
          </w:sdtContent>
        </w:sdt>
        <w:sdt>
          <w:sdtPr>
            <w:alias w:val="9 p."/>
            <w:tag w:val="part_9dbbc4ce260345c2af3daeb59c26592a"/>
            <w:lock w:val="sdtLocked"/>
            <w:richText/>
          </w:sdtPr>
          <w:sdtContent>
            <w:p>
              <w:pPr>
                <w:tabs>
                  <w:tab w:val="left" w:pos="0"/>
                  <w:tab w:val="left" w:pos="993"/>
                </w:tabs>
                <w:ind w:firstLine="709"/>
                <w:jc w:val="both"/>
                <w:rPr>
                  <w:szCs w:val="24"/>
                </w:rPr>
              </w:pPr>
              <w:sdt>
                <w:sdtPr>
                  <w:alias w:val="Numeris"/>
                  <w:tag w:val="nr_9dbbc4ce260345c2af3daeb59c26592a"/>
                  <w:lock w:val="sdtLocked"/>
                  <w:richText/>
                </w:sdtPr>
                <w:sdtContent>
                  <w:r>
                    <w:rPr>
                      <w:szCs w:val="24"/>
                    </w:rPr>
                    <w:t>9</w:t>
                  </w:r>
                </w:sdtContent>
              </w:sdt>
              <w:r>
                <w:rPr>
                  <w:szCs w:val="24"/>
                </w:rPr>
                <w:t>.</w:t>
                <w:tab/>
                <w:t xml:space="preserve">Sutartis gali būti įvykdyta anksčiau nurodyto termino. </w:t>
              </w:r>
              <w:r>
                <w:rPr>
                  <w:color w:val="000000"/>
                  <w:szCs w:val="24"/>
                  <w:shd w:val="clear" w:color="auto" w:fill="FFFFFF"/>
                </w:rPr>
                <w:t>Norėdamas grąžinti mokestinę paskolą anksčiau Sutartyje nurodyto termino, mokesčių mokėtojas prieš 5 darbo dienas iki planuojamo mokestinės paskolos grąžinimo Mokesčių administratoriui turi pateikti laisvos formos prašymą pakeisti Sutarties įvykdymo datą, nurodydamas keitimo priežastį</w:t>
              </w:r>
              <w:r>
                <w:rPr>
                  <w:color w:val="333333"/>
                  <w:szCs w:val="24"/>
                  <w:shd w:val="clear" w:color="auto" w:fill="FFFFFF"/>
                </w:rPr>
                <w:t>. </w:t>
              </w:r>
            </w:p>
            <w:p>
              <w:pPr>
                <w:rPr>
                  <w:sz w:val="14"/>
                  <w:szCs w:val="14"/>
                </w:rPr>
              </w:pPr>
            </w:p>
          </w:sdtContent>
        </w:sdt>
        <w:sdt>
          <w:sdtPr>
            <w:alias w:val="10 p."/>
            <w:tag w:val="part_ed82289a57a3416a9a81376a18d517aa"/>
            <w:lock w:val="sdtLocked"/>
            <w:richText/>
          </w:sdtPr>
          <w:sdtContent>
            <w:p>
              <w:pPr>
                <w:tabs>
                  <w:tab w:val="left" w:pos="0"/>
                  <w:tab w:val="num" w:pos="1134"/>
                </w:tabs>
                <w:ind w:firstLine="709"/>
                <w:jc w:val="both"/>
                <w:rPr>
                  <w:szCs w:val="24"/>
                </w:rPr>
              </w:pPr>
              <w:sdt>
                <w:sdtPr>
                  <w:alias w:val="Numeris"/>
                  <w:tag w:val="nr_ed82289a57a3416a9a81376a18d517aa"/>
                  <w:lock w:val="sdtLocked"/>
                  <w:richText/>
                </w:sdtPr>
                <w:sdtContent>
                  <w:r>
                    <w:rPr>
                      <w:szCs w:val="24"/>
                    </w:rPr>
                    <w:t>10</w:t>
                  </w:r>
                </w:sdtContent>
              </w:sdt>
              <w:r>
                <w:rPr>
                  <w:szCs w:val="24"/>
                </w:rPr>
                <w:t>.</w:t>
                <w:tab/>
                <w:t>Mokesčių administratorius turi teisę nutraukti Sutartį, jei atsiranda bent vienas iš Taisyklių 5</w:t>
              </w:r>
              <w:r>
                <w:rPr>
                  <w:szCs w:val="24"/>
                  <w:lang w:val="en-US"/>
                </w:rPr>
                <w:t>2</w:t>
              </w:r>
              <w:r>
                <w:rPr>
                  <w:szCs w:val="24"/>
                </w:rPr>
                <w:t>.1–52.11 papunkčiuose nurodytų</w:t>
              </w:r>
              <w:r>
                <w:rPr>
                  <w:szCs w:val="24"/>
                  <w:lang w:val="en-US"/>
                </w:rPr>
                <w:t xml:space="preserve"> </w:t>
              </w:r>
              <w:r>
                <w:rPr>
                  <w:szCs w:val="24"/>
                </w:rPr>
                <w:t xml:space="preserve">pagrindų. Likusi nesumokėta pagal Sutartį atidėtoji ir (ar) išdėstytoji mokestinės nepriemokos / AN baudos dalis išieškoma MAĮ nustatyta tvarka. </w:t>
              </w:r>
            </w:p>
            <w:p>
              <w:pPr>
                <w:tabs>
                  <w:tab w:val="left" w:pos="0"/>
                  <w:tab w:val="left" w:pos="720"/>
                  <w:tab w:val="left" w:pos="993"/>
                  <w:tab w:val="left" w:pos="1134"/>
                </w:tabs>
                <w:ind w:firstLine="709"/>
                <w:jc w:val="both"/>
                <w:rPr>
                  <w:sz w:val="14"/>
                  <w:szCs w:val="14"/>
                </w:rPr>
              </w:pPr>
            </w:p>
          </w:sdtContent>
        </w:sdt>
        <w:sdt>
          <w:sdtPr>
            <w:alias w:val="11 p."/>
            <w:tag w:val="part_c3aa5c43ff57480a82831a0c152c5ffe"/>
            <w:lock w:val="sdtLocked"/>
            <w:richText/>
          </w:sdtPr>
          <w:sdtContent>
            <w:p>
              <w:pPr>
                <w:tabs>
                  <w:tab w:val="left" w:pos="0"/>
                  <w:tab w:val="left" w:pos="720"/>
                  <w:tab w:val="left" w:pos="993"/>
                  <w:tab w:val="left" w:pos="1134"/>
                </w:tabs>
                <w:ind w:firstLine="709"/>
                <w:jc w:val="both"/>
              </w:pPr>
              <w:sdt>
                <w:sdtPr>
                  <w:alias w:val="Numeris"/>
                  <w:tag w:val="nr_c3aa5c43ff57480a82831a0c152c5ffe"/>
                  <w:lock w:val="sdtLocked"/>
                  <w:richText/>
                </w:sdtPr>
                <w:sdtContent>
                  <w:r>
                    <w:rPr>
                      <w:szCs w:val="24"/>
                    </w:rPr>
                    <w:t>11</w:t>
                  </w:r>
                </w:sdtContent>
              </w:sdt>
              <w:r>
                <w:rPr>
                  <w:szCs w:val="24"/>
                </w:rPr>
                <w:t>.</w:t>
                <w:tab/>
              </w:r>
              <w:r>
                <w:t xml:space="preserve">Mokesčių </w:t>
              </w:r>
              <w:r>
                <w:rPr>
                  <w:szCs w:val="24"/>
                </w:rPr>
                <w:t>administratorius, prieš nutraukdamas Sutartį, įteikia mokesčių mokėtojui Įspėjimą, kurio forma FR1093 patvirtinta</w:t>
              </w:r>
              <w:r>
                <w:t xml:space="preserve"> Valstybinės mokesčių inspekcijos prie Lietuvos Respublikos finansų ministerijos viršininko </w:t>
              </w:r>
              <w:r>
                <w:rPr>
                  <w:szCs w:val="24"/>
                </w:rPr>
                <w:t>2024 m. spalio 23 d. įsakymu Nr. VA-83 „</w:t>
              </w:r>
              <w:r>
                <w:rPr>
                  <w:color w:val="000000"/>
                  <w:szCs w:val="24"/>
                </w:rPr>
                <w:t>Dėl Mokestinės nepriemokos ar baudos už administracinį nusižengimą mokėjimo atidėjimo ir (ar) išdėstymo taisyklių ir formų patvirtinimo“,</w:t>
              </w:r>
              <w:r>
                <w:rPr>
                  <w:szCs w:val="24"/>
                </w:rPr>
                <w:t xml:space="preserve"> apie ketinimą nutraukti Sutartį, išskyrus pagrindus, nurodytus Taisyklių 52.2–52.11 papunkčiuose. Jeigu asmuo, kuriam paskirta AN bauda, nesilaiko Sutarties sąlygų (nevykdomas Sutarties grafikas) ir laiku nesumoka AN baudos dalies pagal Sutarties grafiką, Sutartis be atskiro Mokesčių administratoriaus įspėjimo taip pat gali būti nutraukiama, praėjus 5 darbo dienoms nuo Sutarties grafike numatytos įmokos mokėjimo dienos. Nutraukus Sutartį</w:t>
              </w:r>
              <w:r>
                <w:rPr>
                  <w:szCs w:val="22"/>
                </w:rPr>
                <w:t xml:space="preserve"> arba jai pasibaigus neįvykdytai, pakartotinai Sutartis dėl tokių prievolių mokėjimo atidėjimo ir (ar) išdėstymo negalės būti sudaryta.</w:t>
              </w:r>
            </w:p>
            <w:p>
              <w:pPr>
                <w:rPr>
                  <w:sz w:val="14"/>
                  <w:szCs w:val="14"/>
                </w:rPr>
              </w:pPr>
            </w:p>
          </w:sdtContent>
        </w:sdt>
        <w:sdt>
          <w:sdtPr>
            <w:alias w:val="12 p."/>
            <w:tag w:val="part_af64065e95f14b8bbe16160028522bfa"/>
            <w:lock w:val="sdtLocked"/>
            <w:richText/>
          </w:sdtPr>
          <w:sdtContent>
            <w:p>
              <w:pPr>
                <w:tabs>
                  <w:tab w:val="left" w:pos="0"/>
                  <w:tab w:val="left" w:pos="1134"/>
                </w:tabs>
                <w:ind w:firstLine="709"/>
                <w:jc w:val="both"/>
              </w:pPr>
              <w:sdt>
                <w:sdtPr>
                  <w:alias w:val="Numeris"/>
                  <w:tag w:val="nr_af64065e95f14b8bbe16160028522bfa"/>
                  <w:lock w:val="sdtLocked"/>
                  <w:richText/>
                </w:sdtPr>
                <w:sdtContent>
                  <w:r>
                    <w:rPr>
                      <w:szCs w:val="24"/>
                    </w:rPr>
                    <w:t>12</w:t>
                  </w:r>
                </w:sdtContent>
              </w:sdt>
              <w:r>
                <w:rPr>
                  <w:szCs w:val="24"/>
                </w:rPr>
                <w:t>.</w:t>
                <w:tab/>
              </w:r>
              <w:r>
                <w:t xml:space="preserve">Jei per  Sutarties galiojimo laikotarpį sumokama tik dalis atidėtosios ir (ar) išdėstytosios mokestinės nepriemokos arba jei Sutartis nutraukiama, tai sumokėta palūkanų suma perskaičiuojama, atsižvelgiant į faktiškai panaudotą mokestinės paskolos sumą, o nuo likusių nesumokėtų mokesčių MAĮ nustatyta tvarka skaičiuojami delspinigiai.</w:t>
              </w:r>
            </w:p>
          </w:sdtContent>
        </w:sdt>
        <w:sdt>
          <w:sdtPr>
            <w:alias w:val="13 p."/>
            <w:tag w:val="part_2b70e40b2f024ef29194e9264f995334"/>
            <w:lock w:val="sdtLocked"/>
            <w:richText/>
          </w:sdtPr>
          <w:sdtContent>
            <w:p>
              <w:pPr>
                <w:tabs>
                  <w:tab w:val="left" w:pos="0"/>
                  <w:tab w:val="left" w:pos="1134"/>
                </w:tabs>
                <w:ind w:firstLine="709"/>
                <w:jc w:val="both"/>
              </w:pPr>
              <w:sdt>
                <w:sdtPr>
                  <w:alias w:val="Numeris"/>
                  <w:tag w:val="nr_2b70e40b2f024ef29194e9264f995334"/>
                  <w:lock w:val="sdtLocked"/>
                  <w:richText/>
                </w:sdtPr>
                <w:sdtContent>
                  <w:r>
                    <w:rPr>
                      <w:szCs w:val="24"/>
                    </w:rPr>
                    <w:t>13</w:t>
                  </w:r>
                </w:sdtContent>
              </w:sdt>
              <w:r>
                <w:rPr>
                  <w:szCs w:val="24"/>
                </w:rPr>
                <w:t>.</w:t>
                <w:tab/>
              </w:r>
              <w:r>
                <w:t xml:space="preserve">Sutarties grafike nurodytas įmokas, palūkanas, padidintas palūkanas, palūkanų delspinigius įmokos kodu </w:t>
              </w:r>
              <w:r>
                <w:rPr>
                  <w:lang w:val="en-US"/>
                </w:rPr>
                <w:t xml:space="preserve">8250 </w:t>
              </w:r>
              <w:r>
                <w:t>mokesčių mokėtojas perveda į Valstybinės mokesčių inspekcijos prie Lietuvos Respublikos finansų ministerijos (kodas – 188659752) vieną iš nurodytų banko sąskaitų:</w:t>
              </w:r>
            </w:p>
            <w:p>
              <w:pPr>
                <w:tabs>
                  <w:tab w:val="left" w:pos="720"/>
                </w:tabs>
                <w:rPr>
                  <w:szCs w:val="24"/>
                </w:rPr>
              </w:pPr>
              <w:r>
                <w:rPr>
                  <w:szCs w:val="24"/>
                </w:rPr>
                <w:t>……………………………………………………………………………………………………………………………………………………………………………………………………………………</w:t>
              </w:r>
            </w:p>
            <w:p>
              <w:pPr>
                <w:rPr>
                  <w:sz w:val="14"/>
                  <w:szCs w:val="14"/>
                </w:rPr>
              </w:pPr>
            </w:p>
          </w:sdtContent>
        </w:sdt>
        <w:sdt>
          <w:sdtPr>
            <w:alias w:val="14 p."/>
            <w:tag w:val="part_4123486073834807ac1a57931d401f54"/>
            <w:lock w:val="sdtLocked"/>
            <w:richText/>
          </w:sdtPr>
          <w:sdtContent>
            <w:p>
              <w:pPr>
                <w:tabs>
                  <w:tab w:val="left" w:pos="0"/>
                  <w:tab w:val="left" w:pos="1134"/>
                </w:tabs>
                <w:ind w:firstLine="709"/>
                <w:jc w:val="both"/>
              </w:pPr>
              <w:sdt>
                <w:sdtPr>
                  <w:alias w:val="Numeris"/>
                  <w:tag w:val="nr_4123486073834807ac1a57931d401f54"/>
                  <w:lock w:val="sdtLocked"/>
                  <w:richText/>
                </w:sdtPr>
                <w:sdtContent>
                  <w:r>
                    <w:rPr>
                      <w:szCs w:val="24"/>
                    </w:rPr>
                    <w:t>14</w:t>
                  </w:r>
                </w:sdtContent>
              </w:sdt>
              <w:r>
                <w:rPr>
                  <w:szCs w:val="24"/>
                </w:rPr>
                <w:t>.</w:t>
                <w:tab/>
              </w:r>
              <w:r>
                <w:t>Jeigu įmokos mokėjimo terminas sutampa su poilsio ar šventės diena, įmokos sumokėjimo diena laikoma kita darbo diena po tos poilsio ar šventės dienos.</w:t>
              </w:r>
            </w:p>
            <w:p>
              <w:pPr>
                <w:rPr>
                  <w:sz w:val="14"/>
                  <w:szCs w:val="14"/>
                </w:rPr>
              </w:pPr>
            </w:p>
          </w:sdtContent>
        </w:sdt>
        <w:sdt>
          <w:sdtPr>
            <w:alias w:val="15 p."/>
            <w:tag w:val="part_b7d621f29139479babe77ab3ede2b6ca"/>
            <w:lock w:val="sdtLocked"/>
            <w:richText/>
          </w:sdtPr>
          <w:sdtContent>
            <w:p>
              <w:pPr>
                <w:tabs>
                  <w:tab w:val="left" w:pos="0"/>
                  <w:tab w:val="left" w:pos="1134"/>
                </w:tabs>
                <w:ind w:firstLine="709"/>
                <w:jc w:val="both"/>
              </w:pPr>
              <w:sdt>
                <w:sdtPr>
                  <w:alias w:val="Numeris"/>
                  <w:tag w:val="nr_b7d621f29139479babe77ab3ede2b6ca"/>
                  <w:lock w:val="sdtLocked"/>
                  <w:richText/>
                </w:sdtPr>
                <w:sdtContent>
                  <w:r>
                    <w:rPr>
                      <w:szCs w:val="24"/>
                    </w:rPr>
                    <w:t>15</w:t>
                  </w:r>
                </w:sdtContent>
              </w:sdt>
              <w:r>
                <w:rPr>
                  <w:szCs w:val="24"/>
                </w:rPr>
                <w:t>.</w:t>
                <w:tab/>
              </w:r>
              <w:r>
                <w:t>Sutartis įsigalioja nuo jos pasirašymo dienos.</w:t>
              </w:r>
            </w:p>
            <w:p>
              <w:pPr>
                <w:rPr>
                  <w:sz w:val="14"/>
                  <w:szCs w:val="14"/>
                </w:rPr>
              </w:pPr>
            </w:p>
          </w:sdtContent>
        </w:sdt>
        <w:sdt>
          <w:sdtPr>
            <w:alias w:val="16 p."/>
            <w:tag w:val="part_9b31a67a89f34b729fce910ba9c9aa84"/>
            <w:lock w:val="sdtLocked"/>
            <w:richText/>
          </w:sdtPr>
          <w:sdtContent>
            <w:p>
              <w:pPr>
                <w:tabs>
                  <w:tab w:val="left" w:pos="0"/>
                  <w:tab w:val="left" w:pos="1134"/>
                </w:tabs>
                <w:ind w:firstLine="709"/>
                <w:jc w:val="both"/>
              </w:pPr>
              <w:sdt>
                <w:sdtPr>
                  <w:alias w:val="Numeris"/>
                  <w:tag w:val="nr_9b31a67a89f34b729fce910ba9c9aa84"/>
                  <w:lock w:val="sdtLocked"/>
                  <w:richText/>
                </w:sdtPr>
                <w:sdtContent>
                  <w:r>
                    <w:rPr>
                      <w:szCs w:val="24"/>
                    </w:rPr>
                    <w:t>16</w:t>
                  </w:r>
                </w:sdtContent>
              </w:sdt>
              <w:r>
                <w:rPr>
                  <w:szCs w:val="24"/>
                </w:rPr>
                <w:t>.</w:t>
                <w:tab/>
              </w:r>
              <w:r>
                <w:t>Sutarties šalių ginčai, susiję su Sutartimi, sprendžiami Lietuvos Respublikos įstatymų nustatyta tvarka.</w:t>
              </w:r>
            </w:p>
            <w:p>
              <w:pPr>
                <w:rPr>
                  <w:sz w:val="14"/>
                  <w:szCs w:val="14"/>
                </w:rPr>
              </w:pPr>
            </w:p>
          </w:sdtContent>
        </w:sdt>
        <w:sdt>
          <w:sdtPr>
            <w:alias w:val="17 p."/>
            <w:tag w:val="part_4f9462e2699e4c0d81fd42968c828f0f"/>
            <w:lock w:val="sdtLocked"/>
            <w:richText/>
          </w:sdtPr>
          <w:sdtContent>
            <w:p>
              <w:pPr>
                <w:tabs>
                  <w:tab w:val="left" w:pos="0"/>
                  <w:tab w:val="left" w:pos="1134"/>
                </w:tabs>
                <w:ind w:firstLine="709"/>
                <w:jc w:val="both"/>
              </w:pPr>
              <w:sdt>
                <w:sdtPr>
                  <w:alias w:val="Numeris"/>
                  <w:tag w:val="nr_4f9462e2699e4c0d81fd42968c828f0f"/>
                  <w:lock w:val="sdtLocked"/>
                  <w:richText/>
                </w:sdtPr>
                <w:sdtContent>
                  <w:r>
                    <w:rPr>
                      <w:szCs w:val="24"/>
                    </w:rPr>
                    <w:t>17</w:t>
                  </w:r>
                </w:sdtContent>
              </w:sdt>
              <w:r>
                <w:rPr>
                  <w:szCs w:val="24"/>
                </w:rPr>
                <w:t>.</w:t>
                <w:tab/>
              </w:r>
              <w:r>
                <w:t>Sutartis sudaroma 2 egzemplioriais, iš kurių vienas lieka Mokesčių administratoriui, kitas – mokesčių mokėtojui.</w:t>
              </w:r>
            </w:p>
            <w:p>
              <w:pPr>
                <w:rPr>
                  <w:sz w:val="14"/>
                  <w:szCs w:val="14"/>
                </w:rPr>
              </w:pPr>
            </w:p>
          </w:sdtContent>
        </w:sdt>
        <w:sdt>
          <w:sdtPr>
            <w:alias w:val="18 p."/>
            <w:tag w:val="part_a4824ef6fc6a4a8094136f32a20ff010"/>
            <w:lock w:val="sdtLocked"/>
            <w:richText/>
          </w:sdtPr>
          <w:sdtContent>
            <w:p>
              <w:pPr>
                <w:tabs>
                  <w:tab w:val="left" w:pos="0"/>
                  <w:tab w:val="left" w:pos="1134"/>
                </w:tabs>
                <w:ind w:firstLine="709"/>
                <w:jc w:val="both"/>
              </w:pPr>
              <w:sdt>
                <w:sdtPr>
                  <w:alias w:val="Numeris"/>
                  <w:tag w:val="nr_a4824ef6fc6a4a8094136f32a20ff010"/>
                  <w:lock w:val="sdtLocked"/>
                  <w:richText/>
                </w:sdtPr>
                <w:sdtContent>
                  <w:r>
                    <w:rPr>
                      <w:szCs w:val="24"/>
                    </w:rPr>
                    <w:t>18</w:t>
                  </w:r>
                </w:sdtContent>
              </w:sdt>
              <w:r>
                <w:rPr>
                  <w:szCs w:val="24"/>
                </w:rPr>
                <w:t>.</w:t>
                <w:tab/>
              </w:r>
              <w:r>
                <w:t>Jei Sutartis yra sudaryta dėl AN baudų sumokėjimo, Sutarties 4, 5, 8 ir 1</w:t>
              </w:r>
              <w:r>
                <w:rPr>
                  <w:lang w:val="en-US"/>
                </w:rPr>
                <w:t>2</w:t>
              </w:r>
              <w:r>
                <w:t xml:space="preserve"> punktai netaikomi.</w:t>
              </w:r>
            </w:p>
            <w:p>
              <w:pPr>
                <w:rPr>
                  <w:sz w:val="14"/>
                  <w:szCs w:val="14"/>
                </w:rPr>
              </w:pPr>
            </w:p>
          </w:sdtContent>
        </w:sdt>
        <w:sdt>
          <w:sdtPr>
            <w:alias w:val="19 p."/>
            <w:tag w:val="part_55d58a93130b4a7ca06a57d0470edb06"/>
            <w:lock w:val="sdtLocked"/>
            <w:richText/>
          </w:sdtPr>
          <w:sdtContent>
            <w:p>
              <w:pPr>
                <w:tabs>
                  <w:tab w:val="left" w:pos="1134"/>
                  <w:tab w:val="left" w:pos="2912"/>
                  <w:tab w:val="left" w:pos="6360"/>
                  <w:tab w:val="left" w:leader="dot" w:pos="9071"/>
                </w:tabs>
                <w:ind w:firstLine="709"/>
                <w:jc w:val="both"/>
                <w:rPr>
                  <w:szCs w:val="24"/>
                </w:rPr>
              </w:pPr>
              <w:sdt>
                <w:sdtPr>
                  <w:alias w:val="Numeris"/>
                  <w:tag w:val="nr_55d58a93130b4a7ca06a57d0470edb06"/>
                  <w:lock w:val="sdtLocked"/>
                  <w:richText/>
                </w:sdtPr>
                <w:sdtContent>
                  <w:r>
                    <w:rPr>
                      <w:szCs w:val="24"/>
                    </w:rPr>
                    <w:t>19</w:t>
                  </w:r>
                </w:sdtContent>
              </w:sdt>
              <w:r>
                <w:rPr>
                  <w:szCs w:val="24"/>
                </w:rPr>
                <w:t>.</w:t>
                <w:tab/>
              </w:r>
              <w:r>
                <w:t xml:space="preserve">Mokesčių mokėtojui, nurodytam Taisyklių 19.1 ir 19.2 papunkčiuose, Sutartimi yra suteikiama </w:t>
              </w:r>
              <w:r>
                <w:rPr>
                  <w:szCs w:val="24"/>
                </w:rPr>
                <w:t xml:space="preserve">nereikšminga </w:t>
              </w:r>
              <w:r>
                <w:rPr>
                  <w:i/>
                  <w:szCs w:val="24"/>
                </w:rPr>
                <w:t xml:space="preserve">de minimis </w:t>
              </w:r>
              <w:r>
                <w:rPr>
                  <w:szCs w:val="24"/>
                </w:rPr>
                <w:t xml:space="preserve">pagalba pagal atitinkamo </w:t>
              </w:r>
              <w:r>
                <w:rPr>
                  <w:bCs/>
                  <w:szCs w:val="24"/>
                  <w:shd w:val="clear" w:color="auto" w:fill="FFFFFF"/>
                </w:rPr>
                <w:t xml:space="preserve">Europos Komisijos </w:t>
              </w:r>
              <w:r>
                <w:rPr>
                  <w:bCs/>
                  <w:i/>
                  <w:szCs w:val="24"/>
                  <w:shd w:val="clear" w:color="auto" w:fill="FFFFFF"/>
                </w:rPr>
                <w:t>de minimis</w:t>
              </w:r>
              <w:r>
                <w:rPr>
                  <w:bCs/>
                  <w:szCs w:val="24"/>
                  <w:shd w:val="clear" w:color="auto" w:fill="FFFFFF"/>
                </w:rPr>
                <w:t xml:space="preserve"> reglamento</w:t>
              </w:r>
              <w:r>
                <w:rPr>
                  <w:szCs w:val="24"/>
                </w:rPr>
                <w:t xml:space="preserve">, nurodyto Taisyklių 58 punkte, reikalavimus. Apie suteiktos nereikšmingos </w:t>
              </w:r>
              <w:r>
                <w:rPr>
                  <w:i/>
                  <w:szCs w:val="24"/>
                </w:rPr>
                <w:t xml:space="preserve">de minimis </w:t>
              </w:r>
              <w:r>
                <w:rPr>
                  <w:szCs w:val="24"/>
                </w:rPr>
                <w:t xml:space="preserve">pagalbos dydį galima sužinoti viešame Suteiktos valstybės pagalbos ir nereikšmingos pagalbos registre Lietuvos Respublikos konkurencijos tarybos interneto svetainėje, kurios adresas https://kotis.kt.gov.lt/. </w:t>
              </w:r>
            </w:p>
            <w:p>
              <w:pPr>
                <w:jc w:val="both"/>
              </w:pPr>
            </w:p>
            <w:p>
              <w:pPr>
                <w:jc w:val="both"/>
              </w:pPr>
              <w:r>
                <w:t>(Dokumento sudarytojo įgaliotas asmuo)</w:t>
                <w:tab/>
                <w:tab/>
                <w:tab/>
                <w:t xml:space="preserve">                        (Mokesčių mokėtojo atstovas)</w:t>
              </w:r>
            </w:p>
            <w:p>
              <w:pPr>
                <w:rPr>
                  <w:sz w:val="16"/>
                  <w:szCs w:val="16"/>
                  <w:lang w:val="en-US"/>
                </w:rPr>
              </w:pPr>
              <w:r>
                <w:rPr>
                  <w:szCs w:val="24"/>
                  <w:lang w:val="en-US"/>
                </w:rPr>
                <w:t xml:space="preserve">………….................………..….. </w:t>
              </w:r>
              <w:r>
                <w:rPr>
                  <w:sz w:val="16"/>
                  <w:szCs w:val="16"/>
                  <w:lang w:val="en-US"/>
                </w:rPr>
                <w:t xml:space="preserve"> </w:t>
              </w:r>
              <w:r>
                <w:rPr>
                  <w:lang w:val="en-US"/>
                </w:rPr>
                <w:t xml:space="preserve">                                         . </w:t>
              </w:r>
              <w:r>
                <w:rPr>
                  <w:szCs w:val="24"/>
                  <w:lang w:val="en-US"/>
                </w:rPr>
                <w:t>…………………..……………….</w:t>
              </w:r>
            </w:p>
            <w:p>
              <w:pPr>
                <w:ind w:firstLine="930"/>
                <w:rPr>
                  <w:sz w:val="16"/>
                  <w:lang w:val="fr-FR"/>
                </w:rPr>
              </w:pPr>
              <w:r>
                <w:rPr>
                  <w:sz w:val="16"/>
                  <w:lang w:val="fr-FR"/>
                </w:rPr>
                <w:t xml:space="preserve">(pareigų pavadinimas)                                                                                                         (pareigų pavadinimas)</w:t>
              </w:r>
            </w:p>
            <w:p>
              <w:pPr>
                <w:rPr>
                  <w:sz w:val="16"/>
                  <w:szCs w:val="16"/>
                  <w:lang w:val="fr-FR"/>
                </w:rPr>
              </w:pPr>
              <w:r>
                <w:rPr>
                  <w:szCs w:val="24"/>
                  <w:lang w:val="fr-FR"/>
                </w:rPr>
                <w:t xml:space="preserve">………….................………..…..   </w:t>
              </w:r>
              <w:r>
                <w:rPr>
                  <w:lang w:val="fr-FR"/>
                </w:rPr>
                <w:t xml:space="preserve">                                        </w:t>
              </w:r>
              <w:r>
                <w:rPr>
                  <w:szCs w:val="24"/>
                  <w:lang w:val="fr-FR"/>
                </w:rPr>
                <w:t>…………………..……………….</w:t>
              </w:r>
            </w:p>
            <w:p>
              <w:pPr>
                <w:ind w:firstLine="1140"/>
                <w:rPr>
                  <w:sz w:val="16"/>
                  <w:lang w:val="fr-FR"/>
                </w:rPr>
              </w:pPr>
              <w:r>
                <w:rPr>
                  <w:sz w:val="16"/>
                  <w:lang w:val="fr-FR"/>
                </w:rPr>
                <w:t xml:space="preserve">(parašas)                                                                                                                                  (parašas)</w:t>
              </w:r>
            </w:p>
            <w:p>
              <w:pPr>
                <w:rPr>
                  <w:szCs w:val="24"/>
                  <w:lang w:val="fr-FR"/>
                </w:rPr>
              </w:pPr>
              <w:r>
                <w:rPr>
                  <w:szCs w:val="24"/>
                  <w:lang w:val="fr-FR"/>
                </w:rPr>
                <w:t xml:space="preserve">………….................………..…..  </w:t>
              </w:r>
              <w:r>
                <w:rPr>
                  <w:lang w:val="fr-FR"/>
                </w:rPr>
                <w:t xml:space="preserve">                                         </w:t>
              </w:r>
              <w:r>
                <w:rPr>
                  <w:szCs w:val="24"/>
                  <w:lang w:val="fr-FR"/>
                </w:rPr>
                <w:t>…………………..……………….</w:t>
              </w:r>
            </w:p>
            <w:p>
              <w:pPr>
                <w:ind w:firstLine="874"/>
                <w:rPr>
                  <w:sz w:val="16"/>
                  <w:lang w:val="fr-FR"/>
                </w:rPr>
              </w:pPr>
              <w:r>
                <w:rPr>
                  <w:sz w:val="16"/>
                  <w:lang w:val="fr-FR"/>
                </w:rPr>
                <w:t xml:space="preserve">(vardas, pavardė)                                                                                                                      (vardas, pavardė)</w:t>
              </w:r>
            </w:p>
            <w:p>
              <w:pPr/>
              <w:r>
                <w:rPr>
                  <w:sz w:val="20"/>
                  <w:lang w:eastAsia="lt-LT"/>
                </w:rPr>
                <mc:AlternateContent>
                  <mc:Choice Requires="wps">
                    <w:drawing>
                      <wp:anchor distT="0" distB="0" distL="114300" distR="114300" simplePos="0" relativeHeight="251793408" behindDoc="0" locked="0" layoutInCell="1" allowOverlap="1">
                        <wp:simplePos x="0" y="0"/>
                        <wp:positionH relativeFrom="column">
                          <wp:posOffset>6024245</wp:posOffset>
                        </wp:positionH>
                        <wp:positionV relativeFrom="paragraph">
                          <wp:posOffset>8252460</wp:posOffset>
                        </wp:positionV>
                        <wp:extent cx="10160" cy="9525"/>
                        <wp:effectExtent l="4445" t="3810" r="4445" b="0"/>
                        <wp:wrapNone/>
                        <wp:docPr id="8" name="Rectangle 6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3" o:spid="_x0000_s1026" style="position:absolute;margin-left:474.35pt;margin-top:649.8pt;width:.8pt;height:.7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smGCeAIAAPkEAAAOAAAAZHJzL2Uyb0RvYy54bWysVNuO0zAQfUfiHyy/t0lKeknUdLXbUoS0 wIqFD3Btp7FwbGO7TbuIf2fstKULPCBEKzm2Z3x8ZuaM5zeHVqI9t05oVeFsmGLEFdVMqG2FP39a D2YYOU8UI1IrXuEjd/hm8fLFvDMlH+lGS8YtAhDlys5UuPHelEniaMNb4obacAXGWtuWeFjabcIs 6QC9lckoTSdJpy0zVlPuHOyueiNeRPy65tR/qGvHPZIVBm4+jjaOmzAmizkpt5aYRtATDfIPLFoi FFx6gVoRT9DOit+gWkGtdrr2Q6rbRNe1oDzGANFk6S/RPDbE8BgLJMeZS5rc/4Ol7/cPFglWYSiU Ii2U6CMkjait5GgyfRUS1BlXgt+jebAhRGfuNf3ikNLLBvz4rbW6azhhQCsL/smzA2Hh4CjadO80 A3yy8zrm6lDbNgBCFtAhluR4KQk/eERhM0uzCdSNgqUYj8YRnpTnk8Y6/4brFoVJhS0wj8hkf+98 YELKs0tkrqVgayFlXNjtZikt2hOQxjIN/xO6u3aTKjgrHY71iP0OEIQ7gi1QjaX+VmSjPL0bFYP1 ZDYd5Ot8PCim6WyQZsVdMUnzIl+tvweCWV42gjGu7oXiZ9ll+d+V9dQAvWCi8FB3yk6M65q9uw4y jb8/BdkKD10oRQsyuDiRMhT1tWIQNik9EbKfJ8/pxyxDDs7fmJUogVD1Xj0bzY6gAKuhSFBNeC9g 0mj7hFEHvVdh93VHLMdIvlWgoiLL89CscZGPpyNY2GvL5tpCFAWoCnuM+unS9w2+M1ZsG7gpi6JQ +haUV4sojKDKntVJr9BfMYLTWxAa+HodvX6+WIsfAAAA//8DAFBLAwQUAAYACAAAACEAJKFdXOAA AAANAQAADwAAAGRycy9kb3ducmV2LnhtbEyPwU7DMAyG70i8Q2QkbixpO8pamk4TEuyItiHOWRPa ssapknQrb493gqP9f/r9uVrPdmBn40PvUEKyEMAMNk732Er4OLw+rICFqFCrwaGR8GMCrOvbm0qV 2l1wZ8772DIqwVAqCV2MY8l5aDpjVVi40SBlX85bFWn0LddeXajcDjwVIudW9UgXOjWal840p/1k JfBD7uMpW2bfuxjSjZ3etu/Np5T3d/PmGVg0c/yD4apP6lCT09FNqAMbJBTL1ROhFKRFkQMjpHgU GbAjrTKRJMDriv//ov4FAAD//wMAUEsBAi0AFAAGAAgAAAAhALaDOJL+AAAA4QEAABMAAAAAAAAA AAAAAAAAAAAAAFtDb250ZW50X1R5cGVzXS54bWxQSwECLQAUAAYACAAAACEAOP0h/9YAAACUAQAA CwAAAAAAAAAAAAAAAAAvAQAAX3JlbHMvLnJlbHNQSwECLQAUAAYACAAAACEAx7JhgngCAAD5BAAA DgAAAAAAAAAAAAAAAAAuAgAAZHJzL2Uyb0RvYy54bWxQSwECLQAUAAYACAAAACEAJKFdXOAAAAAN AQAADwAAAAAAAAAAAAAAAADSBAAAZHJzL2Rvd25yZXYueG1sUEsFBgAAAAAEAAQA8wAAAN8FAAAA AA== " fillcolor="silver" stroked="f"/>
                    </w:pict>
                  </mc:Fallback>
                </mc:AlternateContent>
                <mc:AlternateContent>
                  <mc:Choice Requires="wps">
                    <w:drawing>
                      <wp:anchor distT="0" distB="0" distL="114300" distR="114300" simplePos="0" relativeHeight="251792384" behindDoc="0" locked="0" layoutInCell="1" allowOverlap="1">
                        <wp:simplePos x="0" y="0"/>
                        <wp:positionH relativeFrom="column">
                          <wp:posOffset>6024245</wp:posOffset>
                        </wp:positionH>
                        <wp:positionV relativeFrom="paragraph">
                          <wp:posOffset>8252460</wp:posOffset>
                        </wp:positionV>
                        <wp:extent cx="635" cy="635"/>
                        <wp:effectExtent l="13970" t="13335" r="13970" b="5080"/>
                        <wp:wrapNone/>
                        <wp:docPr id="9" name="Line 6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72" o:spid="_x0000_s1026" style="position:absolute;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49.8pt" to="474.4pt,649.8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oGJzEQIAACUEAAAOAAAAZHJzL2Uyb0RvYy54bWysU82O2jAQvlfqO1i+QxKWZSEirKoEeqFd pN0+gLEdYtWxLdsQUNV379gJtLSXqqoiOTPjmW+++fHy+dxKdOLWCa0KnI1TjLiimgl1KPCXt81o jpHzRDEiteIFvnCHn1fv3y07k/OJbrRk3CIAUS7vTIEb702eJI42vCVurA1XcFlr2xIPqj0kzJIO 0FuZTNJ0lnTaMmM15c6Bteov8Sri1zWn/qWuHfdIFhi4+XjaeO7DmayWJD9YYhpBBxrkH1i0RChI eoOqiCfoaMUfUK2gVjtd+zHVbaLrWlAea4BqsvS3al4bYnisBZrjzK1N7v/B0s+nnUWCFXiBkSIt jGgrFEezp0noTWdcDi6l2tlQHT2rV7PV9KtDSpcNUQceOb5dDARmISK5CwmKM5Bh333SDHzI0evY qHNt2wAJLUDnOI/LbR787BEF4+zhESMK9iAEbJJfw4x1/iPXLQpCgSVwjrDktHW+d726hCxKb4SU YCe5VKgLmYLstBQs3ETFHvaltOhEYFfKNHxD0js3q4+KRaSGE7YeZE+E7GUgKVXAgyqAyyD1y/Bt kS7W8/V8OppOZuvRNK2q0YdNOR3NNtnTY/VQlWWVfQ/UsmneCMa4Cuyui5lN/27wwxPpV+q2mrce JPfosa9A9vqPpOMYw+T6HdhrdtnZ0NcwUdjF6Dy8m7Dsv+rR6+frXv0AAAD//wMAUEsDBBQABgAI AAAAIQCRHFlp3wAAAA0BAAAPAAAAZHJzL2Rvd25yZXYueG1sTI/BTsMwEETvSPyDtUjcqE2omiaN UyEQB0R7oFD1uo1NEhGvo9htwt+ziAMcd+ZpdqZYT64TZzuE1pOG25kCYanypqVaw/vb080SRIhI BjtPVsOXDbAuLy8KzI0f6dWed7EWHEIhRw1NjH0uZaga6zDMfG+JvQ8/OIx8DrU0A44c7jqZKLWQ DlviDw329qGx1efu5DTIsT6kaqMw2b/4x8Pd8zbZzI3W11fT/QpEtFP8g+GnPleHkjsd/YlMEJ2G bL5MGWUjybIFCEZY4jXHXykFWRby/4ryGwAA//8DAFBLAQItABQABgAIAAAAIQC2gziS/gAAAOEB AAATAAAAAAAAAAAAAAAAAAAAAABbQ29udGVudF9UeXBlc10ueG1sUEsBAi0AFAAGAAgAAAAhADj9 If/WAAAAlAEAAAsAAAAAAAAAAAAAAAAALwEAAF9yZWxzLy5yZWxzUEsBAi0AFAAGAAgAAAAhAKug YnMRAgAAJQQAAA4AAAAAAAAAAAAAAAAALgIAAGRycy9lMm9Eb2MueG1sUEsBAi0AFAAGAAgAAAAh AJEcWWnfAAAADQEAAA8AAAAAAAAAAAAAAAAAawQAAGRycy9kb3ducmV2LnhtbFBLBQYAAAAABAAE APMAAAB3BQAAAAA= " strokecolor="silver" strokeweight="0"/>
                    </w:pict>
                  </mc:Fallback>
                </mc:AlternateContent>
                <mc:AlternateContent>
                  <mc:Choice Requires="wps">
                    <w:drawing>
                      <wp:anchor distT="0" distB="0" distL="114300" distR="114300" simplePos="0" relativeHeight="251791360" behindDoc="0" locked="0" layoutInCell="1" allowOverlap="1">
                        <wp:simplePos x="0" y="0"/>
                        <wp:positionH relativeFrom="column">
                          <wp:posOffset>6024245</wp:posOffset>
                        </wp:positionH>
                        <wp:positionV relativeFrom="paragraph">
                          <wp:posOffset>8095615</wp:posOffset>
                        </wp:positionV>
                        <wp:extent cx="10160" cy="9525"/>
                        <wp:effectExtent l="4445" t="0" r="4445" b="635"/>
                        <wp:wrapNone/>
                        <wp:docPr id="10" name="Rectangle 6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1" o:spid="_x0000_s1026" style="position:absolute;margin-left:474.35pt;margin-top:637.45pt;width:.8pt;height:.7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u0IcdwIAAPoEAAAOAAAAZHJzL2Uyb0RvYy54bWysVNuO0zAQfUfiHyy/t0mq9JKo6Wq3pQip wIqFD3Btp7FwbGO7TQvi3xk7bekCDwjRSo7HHh+fmTnj+d2xlejArRNaVTgbphhxRTUTalfhTx/X gxlGzhPFiNSKV/jEHb5bvHwx70zJR7rRknGLAES5sjMVbrw3ZZI42vCWuKE2XMFmrW1LPJh2lzBL OkBvZTJK00nSacuM1ZQ7B6urfhMvIn5dc+rf17XjHskKAzcfRxvHbRiTxZyUO0tMI+iZBvkHFi0R Ci69Qq2IJ2hvxW9QraBWO137IdVtoutaUB5jgGiy9JdonhpieIwFkuPMNU3u/8HSd4dHiwSD2kF6 FGmhRh8ga0TtJEeTaRYy1BlXguOTebQhRmc2mn52SOllA3783lrdNZww4BX9k2cHguHgKNp2bzUD fLL3OibrWNs2AEIa0DHW5HStCT96RGExS7MJMKOwU4xH40AnIeXlpLHOv+a6RWFSYQvMIzI5bJzv XS8ukbmWgq2FlNGwu+1SWnQgoI1lGv5ndHfrJlVwVjoc6xH7FSAId4S9QDXW+luRjfL0YVQM1pPZ dJCv8/GgmKazQZoVD8UkzYt8tf4eCGZ52QjGuNoIxS+6y/K/q+u5A3rFROWh7pydGNcte3cbZBp/ fwqyFR7aUIq2wrOrEylDUV8pBmGT0hMh+3nynH4sCOTg8o1ZiRIIVe/Vs9XsBAqwGooE1YQHAyaN tl8x6qD5Kuy+7InlGMk3ClRUZHkeujUa+Xg6AsPe7mxvd4iiAFVhj1E/Xfq+w/fGil0DN2VRFErf g/JqEYURVNmzAt7BgAaLEZwfg9DBt3b0+vlkLX4AAAD//wMAUEsDBBQABgAIAAAAIQAH+2jF3wAA AA0BAAAPAAAAZHJzL2Rvd25yZXYueG1sTI/BToNAEIbvJr7DZky82UVAWpClaUzUo2lrPG/ZEbDs LGGXFt/e0Us9zvxf/vmmXM+2FyccfedIwf0iAoFUO9NRo+B9/3y3AuGDJqN7R6jgGz2sq+urUhfG nWmLp11oBJeQL7SCNoShkNLXLVrtF25A4uzTjVYHHsdGmlGfudz2Mo6iTFrdEV9o9YBPLdbH3WQV yH02hmOSJl/b4OONnV5e3+oPpW5v5s0jiIBzuMDwq8/qULHTwU1kvOgV5OlqySgH8TLNQTCSP0QJ iMPfKktBVqX8/0X1AwAA//8DAFBLAQItABQABgAIAAAAIQC2gziS/gAAAOEBAAATAAAAAAAAAAAA AAAAAAAAAABbQ29udGVudF9UeXBlc10ueG1sUEsBAi0AFAAGAAgAAAAhADj9If/WAAAAlAEAAAsA AAAAAAAAAAAAAAAALwEAAF9yZWxzLy5yZWxzUEsBAi0AFAAGAAgAAAAhAKi7Qhx3AgAA+gQAAA4A AAAAAAAAAAAAAAAALgIAAGRycy9lMm9Eb2MueG1sUEsBAi0AFAAGAAgAAAAhAAf7aMXfAAAADQEA AA8AAAAAAAAAAAAAAAAA0QQAAGRycy9kb3ducmV2LnhtbFBLBQYAAAAABAAEAPMAAADdBQAAAAA= " fillcolor="silver" stroked="f"/>
                    </w:pict>
                  </mc:Fallback>
                </mc:AlternateContent>
                <mc:AlternateContent>
                  <mc:Choice Requires="wps">
                    <w:drawing>
                      <wp:anchor distT="0" distB="0" distL="114300" distR="114300" simplePos="0" relativeHeight="251790336" behindDoc="0" locked="0" layoutInCell="1" allowOverlap="1">
                        <wp:simplePos x="0" y="0"/>
                        <wp:positionH relativeFrom="column">
                          <wp:posOffset>6024245</wp:posOffset>
                        </wp:positionH>
                        <wp:positionV relativeFrom="paragraph">
                          <wp:posOffset>8095615</wp:posOffset>
                        </wp:positionV>
                        <wp:extent cx="635" cy="635"/>
                        <wp:effectExtent l="13970" t="8890" r="13970" b="9525"/>
                        <wp:wrapNone/>
                        <wp:docPr id="11" name="Line 6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70" o:spid="_x0000_s1026" style="position:absolute;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37.45pt" to="474.4pt,63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KyVMGEQIAACYEAAAOAAAAZHJzL2Uyb0RvYy54bWysU8GO2yAQvVfqPyDuie2sN5u14qwqO+kl 7Uba7QcQwDEqBgQkTlT13zsQJ23ay2pVWcIzMLx582aYPx07iQ7cOqFVibNxihFXVDOhdiX+9roa zTBynihGpFa8xCfu8NPi44d5bwo+0a2WjFsEIMoVvSlx670pksTRlnfEjbXhCg4bbTviwbW7hFnS A3onk0maTpNeW2asptw52K3Ph3gR8ZuGU//cNI57JEsM3HxcbVy3YU0Wc1LsLDGtoAMN8g4WHREK kl6hauIJ2lvxD1QnqNVON35MdZfophGUxxqgmiz9q5qXlhgeawFxnLnK5P4fLP162FgkGPQuw0iR Dnq0Foqj6UMUpzeugJhKbWwojx7Vi1lr+t0hpauWqB2PJF9PBi5mQc7k5kpwnIEU2/6LZhBD9l5H pY6N7QIkaICOsSGna0P40SMKm9O7e4wo7AcjYJPics1Y5z9z3aFglFgC5whLDmvnz6GXkJBF6ZWQ MnZbKtSHTGHbaSlYOImO3W0radGBwLBUafiGpDdhVu8Vi0gtJ2w52J4IebaBpFQBD6oALoN1noYf j+njcrac5aN8Ml2O8rSuR59WVT6arrKH+/qurqo6+xmoZXnRCsa4Cuwuk5nlb+v88EbOM3WdzasG yS161BXIXv6RdGxj6Fx4Sq7Yanba2KBr8GAYY/DwcMK0/+nHqN/Pe/ELAAD//wMAUEsDBBQABgAI AAAAIQATNaob4AAAAA0BAAAPAAAAZHJzL2Rvd25yZXYueG1sTI/BTsMwEETvSPyDtUjcqE0IpA1x KgTigCgH2qJe3XhJIuJ1FLtN+Hu2XOC4M0+zM8Vycp044hBaTxquZwoEUuVtS7WG7eb5ag4iREPW dJ5QwzcGWJbnZ4XJrR/pHY/rWAsOoZAbDU2MfS5lqBp0Jsx8j8Tepx+ciXwOtbSDGTncdTJR6k46 0xJ/aEyPjw1WX+uD0yDHepeplTLJx6t/2t28vCWr1Gp9eTE93IOIOMU/GE71uTqU3GnvD2SD6DQs 0nnGKBtJli5AMMISr9n/SrcKZFnI/yvKHwAAAP//AwBQSwECLQAUAAYACAAAACEAtoM4kv4AAADh AQAAEwAAAAAAAAAAAAAAAAAAAAAAW0NvbnRlbnRfVHlwZXNdLnhtbFBLAQItABQABgAIAAAAIQA4 /SH/1gAAAJQBAAALAAAAAAAAAAAAAAAAAC8BAABfcmVscy8ucmVsc1BLAQItABQABgAIAAAAIQCK yVMGEQIAACYEAAAOAAAAAAAAAAAAAAAAAC4CAABkcnMvZTJvRG9jLnhtbFBLAQItABQABgAIAAAA IQATNaob4AAAAA0BAAAPAAAAAAAAAAAAAAAAAGsEAABkcnMvZG93bnJldi54bWxQSwUGAAAAAAQA BADzAAAAeAUAAAAA " strokecolor="silver" strokeweight="0"/>
                    </w:pict>
                  </mc:Fallback>
                </mc:AlternateContent>
                <mc:AlternateContent>
                  <mc:Choice Requires="wps">
                    <w:drawing>
                      <wp:anchor distT="0" distB="0" distL="114300" distR="114300" simplePos="0" relativeHeight="251789312" behindDoc="0" locked="0" layoutInCell="1" allowOverlap="1">
                        <wp:simplePos x="0" y="0"/>
                        <wp:positionH relativeFrom="column">
                          <wp:posOffset>6024245</wp:posOffset>
                        </wp:positionH>
                        <wp:positionV relativeFrom="paragraph">
                          <wp:posOffset>7938770</wp:posOffset>
                        </wp:positionV>
                        <wp:extent cx="10160" cy="8890"/>
                        <wp:effectExtent l="4445" t="4445" r="4445" b="0"/>
                        <wp:wrapNone/>
                        <wp:docPr id="12" name="Rectangl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9" o:spid="_x0000_s1026" style="position:absolute;margin-left:474.35pt;margin-top:625.1pt;width:.8pt;height:.7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xqfMUewIAAPoEAAAOAAAAZHJzL2Uyb0RvYy54bWysVG2PEyEQ/m7ifyB8b/cl25fd3PZy11pj UvXi6Q+gwHaJLCDQbk/jf3dg29pTPxhjm7DADMMz8zzDze2xk+jArRNa1TgbpxhxRTUTalfjTx/X ozlGzhPFiNSK1/iJO3y7ePnipjcVz3WrJeMWQRDlqt7UuPXeVEniaMs74sbacAXGRtuOeFjaXcIs 6SF6J5M8TadJry0zVlPuHOyuBiNexPhNw6l/3zSOeyRrDNh8HG0ct2FMFjek2lliWkFPMMg/oOiI UHDpJdSKeIL2VvwWqhPUaqcbP6a6S3TTCMpjDpBNlv6SzWNLDI+5QHGcuZTJ/b+w9N3hwSLBgLsc I0U64OgDVI2oneRoOi1DhXrjKnB8NA825OjMRtPPDim9bMGP31mr+5YTBriy4J88OxAWDo6ibf9W M4hP9l7HYh0b24WAUAZ0jJw8XTjhR48obGZpNgXiKFjm8zISlpDqfNJY519z3aEwqbEF5DEyOWyc D0hIdXaJyLUUbC2kjAu72y6lRQcC2lim4R/BQ4LXblIFZ6XDsSHisAMA4Y5gC1Aj19/KLC/S+7wc rafz2ahYF5NROUvnozQr78tpWpTFav09AMyKqhWMcbURip91lxV/x+upAwbFROWhvsblJJ/E3J+h d9dJpvH3pyQ74aENpeigyhcnUgVSXykGaZPKEyGHefIcfqwy1OD8jVWJEgisD+rZavYECrAaSAI2 4cGASavtV4x6aL4auy97YjlG8o0CFZVZUYRujYtiMsthYa8t22sLURRC1dhjNEyXfujwvbFi18JN WSyM0negvEZEYQRVDqhOeoUGixmcHoPQwdfr6PXzyVr8AAAA//8DAFBLAwQUAAYACAAAACEAw6p4 Kt8AAAANAQAADwAAAGRycy9kb3ducmV2LnhtbEyPwU7DMAyG70i8Q2QkbixZu5WtNJ0mJOCItiHO WWPassapmnQrb4/hAkf7//T7c7GZXCfOOITWk4b5TIFAqrxtqdbwdni6W4EI0ZA1nSfU8IUBNuX1 VWFy6y+0w/M+1oJLKORGQxNjn0sZqgadCTPfI3H24QdnIo9DLe1gLlzuOpkolUlnWuILjenxscHq tB+dBnnIhnhKF+nnLoZk68bnl9fqXevbm2n7ACLiFP9g+NFndSjZ6ehHskF0GtaL1T2jHCRLlYBg ZL1UKYjj72qegSwL+f+L8hsAAP//AwBQSwECLQAUAAYACAAAACEAtoM4kv4AAADhAQAAEwAAAAAA AAAAAAAAAAAAAAAAW0NvbnRlbnRfVHlwZXNdLnhtbFBLAQItABQABgAIAAAAIQA4/SH/1gAAAJQB AAALAAAAAAAAAAAAAAAAAC8BAABfcmVscy8ucmVsc1BLAQItABQABgAIAAAAIQAxqfMUewIAAPoE AAAOAAAAAAAAAAAAAAAAAC4CAABkcnMvZTJvRG9jLnhtbFBLAQItABQABgAIAAAAIQDDqngq3wAA AA0BAAAPAAAAAAAAAAAAAAAAANUEAABkcnMvZG93bnJldi54bWxQSwUGAAAAAAQABADzAAAA4QUA AAAA " fillcolor="silver" stroked="f"/>
                    </w:pict>
                  </mc:Fallback>
                </mc:AlternateContent>
                <mc:AlternateContent>
                  <mc:Choice Requires="wps">
                    <w:drawing>
                      <wp:anchor distT="0" distB="0" distL="114300" distR="114300" simplePos="0" relativeHeight="251788288" behindDoc="0" locked="0" layoutInCell="1" allowOverlap="1">
                        <wp:simplePos x="0" y="0"/>
                        <wp:positionH relativeFrom="column">
                          <wp:posOffset>6024245</wp:posOffset>
                        </wp:positionH>
                        <wp:positionV relativeFrom="paragraph">
                          <wp:posOffset>7938770</wp:posOffset>
                        </wp:positionV>
                        <wp:extent cx="635" cy="635"/>
                        <wp:effectExtent l="13970" t="13970" r="13970" b="13970"/>
                        <wp:wrapNone/>
                        <wp:docPr id="13" name="Line 6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8" o:spid="_x0000_s1026" style="position:absolute;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25.1pt" to="474.4pt,625.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m5aQdEgIAACYEAAAOAAAAZHJzL2Uyb0RvYy54bWysU82O2jAQvlfqO1i+QxLIUj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BrObY6RI BzN6FoqjxWIZmtMbV4BPpXY2lEfP6sU8a/rVIaWrlqgDjyRfLwYCsxCR3IUExRlIse8/agY+5Oh1 7NS5sV2AhB6gcxzI5TYQfvaIgnExf8CIgj0IAZsU1zBjnf/AdYeCUGIJnCMsOT07P7heXUIWpbdC SrCTQirUh0xBdloKFm6iYg/7Slp0IrAsVRq+Memdm9VHxSJSywnbjLInQg4ykJQq4EEVwGWUhm34 9pg+bpabZT7JZ4vNJE/revJ+W+WTxTZ791DP66qqs++BWpYXrWCMq8DuuplZ/neTH9/IsFO33bz1 ILlHj30Fstd/JB3HGCY37MBes8vOhr6GicIyRufx4YRt/1WPXj+f9/oHAAAA//8DAFBLAwQUAAYA CAAAACEAA5KW6d8AAAANAQAADwAAAGRycy9kb3ducmV2LnhtbEyPwU7DMBBE70j8g7VI3KiNW2gJ cSoE4oAoB9qiXrfxkkTEdhS7Tfh7tuIAx515mp3Jl6NrxZH62ARv4HqiQJAvg218ZWC7eb5agIgJ vcU2eDLwTRGWxflZjpkNg3+n4zpVgkN8zNBAnVKXSRnLmhzGSejIs/cZeoeJz76StseBw10rtVK3 0mHj+UONHT3WVH6tD86AHKrdXK0U6o/X8LSbvrzp1cwac3kxPtyDSDSmPxhO9bk6FNxpHw7eRtEa uJst5oyyoW+UBsEIS7xm/ytNQRa5/L+i+AEAAP//AwBQSwECLQAUAAYACAAAACEAtoM4kv4AAADh AQAAEwAAAAAAAAAAAAAAAAAAAAAAW0NvbnRlbnRfVHlwZXNdLnhtbFBLAQItABQABgAIAAAAIQA4 /SH/1gAAAJQBAAALAAAAAAAAAAAAAAAAAC8BAABfcmVscy8ucmVsc1BLAQItABQABgAIAAAAIQAm 5aQdEgIAACYEAAAOAAAAAAAAAAAAAAAAAC4CAABkcnMvZTJvRG9jLnhtbFBLAQItABQABgAIAAAA IQADkpbp3wAAAA0BAAAPAAAAAAAAAAAAAAAAAGwEAABkcnMvZG93bnJldi54bWxQSwUGAAAAAAQA BADzAAAAeAUAAAAA " strokecolor="silver" strokeweight="0"/>
                    </w:pict>
                  </mc:Fallback>
                </mc:AlternateContent>
                <mc:AlternateContent>
                  <mc:Choice Requires="wps">
                    <w:drawing>
                      <wp:anchor distT="0" distB="0" distL="114300" distR="114300" simplePos="0" relativeHeight="251787264" behindDoc="0" locked="0" layoutInCell="1" allowOverlap="1">
                        <wp:simplePos x="0" y="0"/>
                        <wp:positionH relativeFrom="column">
                          <wp:posOffset>6024245</wp:posOffset>
                        </wp:positionH>
                        <wp:positionV relativeFrom="paragraph">
                          <wp:posOffset>7781925</wp:posOffset>
                        </wp:positionV>
                        <wp:extent cx="10160" cy="8890"/>
                        <wp:effectExtent l="4445" t="0" r="4445" b="635"/>
                        <wp:wrapNone/>
                        <wp:docPr id="14" name="Rectangle 6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7" o:spid="_x0000_s1026" style="position:absolute;margin-left:474.35pt;margin-top:612.75pt;width:.8pt;height:.7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V2t9ewIAAPoEAAAOAAAAZHJzL2Uyb0RvYy54bWysVNuO0zAQfUfiHyy/t0mq9JKo6Wq3pQip wIqFD3Btp7FwbGO7TRfEvzN22tICDwjRSo7tGY/PzDnj+d2xlejArRNaVTgbphhxRTUTalfhTx/X gxlGzhPFiNSKV/iZO3y3ePli3pmSj3SjJeMWQRDlys5UuPHelEniaMNb4obacAXGWtuWeFjaXcIs 6SB6K5NRmk6STltmrKbcOdhd9Ua8iPHrmlP/vq4d90hWGLD5ONo4bsOYLOak3FliGkFPMMg/oGiJ UHDpJdSKeIL2VvwWqhXUaqdrP6S6TXRdC8pjDpBNlv6SzVNDDI+5QHGcuZTJ/b+w9N3h0SLBgLsc I0Va4OgDVI2oneRoMpmGCnXGleD4ZB5tyNGZjaafHVJ62YAfv7dWdw0nDHBlwT+5ORAWDo6ibfdW M4hP9l7HYh1r24aAUAZ0jJw8XzjhR48obGZpNgHiKFhmsyISlpDyfNJY519z3aIwqbAF5DEyOWyc D0hIeXaJyLUUbC2kjAu72y6lRQcC2lim4R/BQ4LXblIFZ6XDsT5ivwMA4Y5gC1Aj19+KbJSnD6Ni sJ7MpoN8nY8HxTSdDdKseCgmaV7kq/X3ADDLy0YwxtVGKH7WXZb/Ha+nDugVE5WHugoX49E45n6D 3l0nmcbfn5JshYc2lKKFKl+cSBlIfaUYpE1KT4Ts58kt/FhlqMH5G6sSJRBY79Wz1ewZFGA1kARs woMBk0bbrxh10HwVdl/2xHKM5BsFKiqyPA/dGhf5eDqChb22bK8tRFEIVWGPUT9d+r7D98aKXQM3 ZbEwSt+D8moRhRFU2aM66RUaLGZwegxCB1+vo9fPJ2vxAwAA//8DAFBLAwQUAAYACAAAACEA8TH9 ot8AAAANAQAADwAAAGRycy9kb3ducmV2LnhtbEyPwU6DQBCG7ya+w2ZMvNlFKFiQpWlM1KNpazxv 2RGw7Cxhlxbf3tFLPc78X/75plzPthcnHH3nSMH9IgKBVDvTUaPgff98twLhgyaje0eo4Bs9rKvr q1IXxp1pi6ddaASXkC+0gjaEoZDS1y1a7RduQOLs041WBx7HRppRn7nc9jKOokxa3RFfaPWATy3W x91kFch9NoZjsky+tsHHGzu9vL7VH0rd3sybRxAB53CB4Vef1aFip4ObyHjRK8iXqwdGOYjjNAXB SJ5GCYjD3yrLQVal/P9F9QMAAP//AwBQSwECLQAUAAYACAAAACEAtoM4kv4AAADhAQAAEwAAAAAA AAAAAAAAAAAAAAAAW0NvbnRlbnRfVHlwZXNdLnhtbFBLAQItABQABgAIAAAAIQA4/SH/1gAAAJQB AAALAAAAAAAAAAAAAAAAAC8BAABfcmVscy8ucmVsc1BLAQItABQABgAIAAAAIQDfV2t9ewIAAPoE AAAOAAAAAAAAAAAAAAAAAC4CAABkcnMvZTJvRG9jLnhtbFBLAQItABQABgAIAAAAIQDxMf2i3wAA AA0BAAAPAAAAAAAAAAAAAAAAANUEAABkcnMvZG93bnJldi54bWxQSwUGAAAAAAQABADzAAAA4QUA AAAA " fillcolor="silver" stroked="f"/>
                    </w:pict>
                  </mc:Fallback>
                </mc:AlternateContent>
                <mc:AlternateContent>
                  <mc:Choice Requires="wps">
                    <w:drawing>
                      <wp:anchor distT="0" distB="0" distL="114300" distR="114300" simplePos="0" relativeHeight="251786240" behindDoc="0" locked="0" layoutInCell="1" allowOverlap="1">
                        <wp:simplePos x="0" y="0"/>
                        <wp:positionH relativeFrom="column">
                          <wp:posOffset>6024245</wp:posOffset>
                        </wp:positionH>
                        <wp:positionV relativeFrom="paragraph">
                          <wp:posOffset>7781925</wp:posOffset>
                        </wp:positionV>
                        <wp:extent cx="635" cy="635"/>
                        <wp:effectExtent l="13970" t="9525" r="13970" b="8890"/>
                        <wp:wrapNone/>
                        <wp:docPr id="15" name="Line 6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6" o:spid="_x0000_s1026" style="position:absolute;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12.75pt" to="474.4pt,612.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zUnMEQIAACYEAAAOAAAAZHJzL2Uyb0RvYy54bWysU82O0zAQviPxDlbubZJuNnSjpiuUtFwK VNrlAVzbaSwc27LdphXi3Rk7aaBwQQhFcmbGM9988+PV86UT6MyM5UqWUTpPIsQkUZTLYxl9ed3O lhGyDkuKhZKsjK7MRs/rt29WvS7YQrVKUGYQgEhb9LqMWud0EceWtKzDdq40k3DZKNNhB6o5xtTg HtA7ES+SJI97Zag2ijBrwVoPl9E64DcNI+5z01jmkCgj4ObCacJ58Ge8XuHiaLBuORlp4H9g0WEu IekEVWOH0cnwP6A6ToyyqnFzorpYNQ0nLNQA1aTJb9W8tFizUAs0x+qpTfb/wZJP571BnMLsHiMk cQcz2nHJUJ7nvjm9tgX4VHJvfHnkIl/0TpGvFklVtVgeWSD5etUQmPqI+C7EK1ZDikP/UVHwwSen Qqcujek8JPQAXcJArtNA2MUhAsb8AUgRsHvBY+PiFqaNdR+Y6pAXykgA5wCLzzvrBtebi88i1ZYL AXZcCIl6n8nLVglO/U1QzPFQCYPOGJalSvw3Jr1zM+okaUBqGaabUXaYi0EGkkJ6PKgCuIzSsA3f npKnzXKzzGbZIt/MsqSuZ++3VTbLt+m7x/qhrqo6/e6ppVnRckqZ9Oxum5lmfzf58Y0MOzXt5tSD +B499BXI3v6BdBijn9ywAwdFr3vj++onCssYnMeH47f9Vz14/Xze6x8AAAD//wMAUEsDBBQABgAI AAAAIQDJZMjW3wAAAA0BAAAPAAAAZHJzL2Rvd25yZXYueG1sTI/NTsMwEITvSLyDtUjcqI3pHyFO hUAcEOVAadWrGy9JRLyOYrcJb88iDnDcmU+zM/lq9K04YR+bQAauJwoEUhlcQ5WB7fvT1RJETJac bQOhgS+MsCrOz3KbuTDQG542qRIcQjGzBuqUukzKWNbobZyEDom9j9B7m/jsK+l6O3C4b6VWai69 bYg/1LbDhxrLz83RG5BDtV+otbJ69xIe9zfPr3o9dcZcXoz3dyASjukPhp/6XB0K7nQIR3JRtAZu p8sFo2xoPZuBYIQlXnP4leYgi1z+X1F8AwAA//8DAFBLAQItABQABgAIAAAAIQC2gziS/gAAAOEB AAATAAAAAAAAAAAAAAAAAAAAAABbQ29udGVudF9UeXBlc10ueG1sUEsBAi0AFAAGAAgAAAAhADj9 If/WAAAAlAEAAAsAAAAAAAAAAAAAAAAALwEAAF9yZWxzLy5yZWxzUEsBAi0AFAAGAAgAAAAhAGPN ScwRAgAAJgQAAA4AAAAAAAAAAAAAAAAALgIAAGRycy9lMm9Eb2MueG1sUEsBAi0AFAAGAAgAAAAh AMlkyNbfAAAADQEAAA8AAAAAAAAAAAAAAAAAawQAAGRycy9kb3ducmV2LnhtbFBLBQYAAAAABAAE APMAAAB3BQAAAAA= " strokecolor="silver" strokeweight="0"/>
                    </w:pict>
                  </mc:Fallback>
                </mc:AlternateContent>
                <mc:AlternateContent>
                  <mc:Choice Requires="wps">
                    <w:drawing>
                      <wp:anchor distT="0" distB="0" distL="114300" distR="114300" simplePos="0" relativeHeight="251785216" behindDoc="0" locked="0" layoutInCell="1" allowOverlap="1">
                        <wp:simplePos x="0" y="0"/>
                        <wp:positionH relativeFrom="column">
                          <wp:posOffset>6024245</wp:posOffset>
                        </wp:positionH>
                        <wp:positionV relativeFrom="paragraph">
                          <wp:posOffset>7625080</wp:posOffset>
                        </wp:positionV>
                        <wp:extent cx="10160" cy="8890"/>
                        <wp:effectExtent l="4445" t="0" r="4445" b="0"/>
                        <wp:wrapNone/>
                        <wp:docPr id="16" name="Rectangle 6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5" o:spid="_x0000_s1026" style="position:absolute;margin-left:474.35pt;margin-top:600.4pt;width:.8pt;height:.7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GV+mfAIAAPoEAAAOAAAAZHJzL2Uyb0RvYy54bWysVMGO0zAQvSPxD5bvbZIqTZto09VuSxFS gRULH+DaTmPh2MZ2my6If2fstKULHBCilRzbMx6/mffGN7fHTqIDt05oVeNsnGLEFdVMqF2NP31c j+YYOU8UI1IrXuMn7vDt4uWLm95UfKJbLRm3CIIoV/Wmxq33pkoSR1veETfWhiswNtp2xMPS7hJm SQ/RO5lM0rRIem2ZsZpy52B3NRjxIsZvGk79+6Zx3CNZY8Dm42jjuA1jsrgh1c4S0wp6gkH+AUVH hIJLL6FWxBO0t+K3UJ2gVjvd+DHVXaKbRlAec4BssvSXbB5bYnjMBYrjzKVM7v+Fpe8ODxYJBtwV GCnSAUcfoGpE7SRHRTENFeqNq8Dx0TzYkKMzG00/O6T0sgU/fmet7ltOGODKgn/y7EBYODiKtv1b zSA+2Xsdi3VsbBcCQhnQMXLydOGEHz2isJmlWQHEUbDM52UkLCHV+aSxzr/mukNhUmMLyGNkctg4 H5CQ6uwSkWsp2FpIGRd2t11Kiw4EtLFMwz+ChwSv3aQKzkqHY0PEYQcAwh3BFqBGrr+V2SRP7yfl aF3MZ6N8nU9H5Sydj9KsvC+LNC/z1fp7AJjlVSsY42ojFD/rLsv/jtdTBwyKicpDfY3L6WQac3+G 3l0nmcbfn5LshIc2lKKDKl+cSBVIfaUYpE0qT4Qc5slz+LHKUIPzN1YlSiCwPqhnq9kTKMBqIAnY hAcDJq22XzHqoflq7L7sieUYyTcKVFRmeR66NS7y6WwCC3tt2V5biKIQqsYeo2G69EOH740VuxZu ymJhlL4D5TUiCiOockB10is0WMzg9BiEDr5eR6+fT9biBwAAAP//AwBQSwMEFAAGAAgAAAAhAEW7 XunfAAAADQEAAA8AAABkcnMvZG93bnJldi54bWxMj0tPwzAQhO9I/AdrK3GjTpPSR4hTVUjAEfUh zm68JKHxOrKdNvx7Fi5w3J3RzDfFZrSduKAPrSMFs2kCAqlypqVawfHwfL8CEaImoztHqOALA2zK 25tC58ZdaYeXfawFh1DItYImxj6XMlQNWh2mrkdi7cN5qyOfvpbG6yuH206mSbKQVrfEDY3u8anB 6rwfrAJ5WPh4zubZ5y6GdGuHl9e36l2pu8m4fQQRcYx/ZvjBZ3QomenkBjJBdArW89WSrSxwD49g y/ohyUCcfl9pCrIs5P8V5TcAAAD//wMAUEsBAi0AFAAGAAgAAAAhALaDOJL+AAAA4QEAABMAAAAA AAAAAAAAAAAAAAAAAFtDb250ZW50X1R5cGVzXS54bWxQSwECLQAUAAYACAAAACEAOP0h/9YAAACU AQAACwAAAAAAAAAAAAAAAAAvAQAAX3JlbHMvLnJlbHNQSwECLQAUAAYACAAAACEAsxlfpnwCAAD6 BAAADgAAAAAAAAAAAAAAAAAuAgAAZHJzL2Uyb0RvYy54bWxQSwECLQAUAAYACAAAACEARbte6d8A AAANAQAADwAAAAAAAAAAAAAAAADWBAAAZHJzL2Rvd25yZXYueG1sUEsFBgAAAAAEAAQA8wAAAOIF AAAAAA== " fillcolor="silver" stroked="f"/>
                    </w:pict>
                  </mc:Fallback>
                </mc:AlternateContent>
                <mc:AlternateContent>
                  <mc:Choice Requires="wps">
                    <w:drawing>
                      <wp:anchor distT="0" distB="0" distL="114300" distR="114300" simplePos="0" relativeHeight="251784192" behindDoc="0" locked="0" layoutInCell="1" allowOverlap="1">
                        <wp:simplePos x="0" y="0"/>
                        <wp:positionH relativeFrom="column">
                          <wp:posOffset>6024245</wp:posOffset>
                        </wp:positionH>
                        <wp:positionV relativeFrom="paragraph">
                          <wp:posOffset>7625080</wp:posOffset>
                        </wp:positionV>
                        <wp:extent cx="635" cy="635"/>
                        <wp:effectExtent l="13970" t="5080" r="13970" b="13335"/>
                        <wp:wrapNone/>
                        <wp:docPr id="17" name="Line 6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4" o:spid="_x0000_s1026" style="position:absolute;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600.4pt" to="474.4pt,600.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Gu4AEgIAACYEAAAOAAAAZHJzL2Uyb0RvYy54bWysU82O2yAQvlfqOyDuie2sN5u14qwqO+ll 24202wcggGNUDAhInKjqu3fATtq0l6qqLOGZYeabb35YPp06iY7cOqFVibNpihFXVDOh9iX+8raZ LDBynihGpFa8xGfu8NPq/btlbwo+062WjFsEIMoVvSlx670pksTRlnfETbXhCi4bbTviQbX7hFnS A3onk1mazpNeW2asptw5sNbDJV5F/Kbh1L80jeMeyRIDNx9PG89dOJPVkhR7S0wr6EiD/AOLjggF Sa9QNfEEHaz4A6oT1GqnGz+lukt00wjKYw1QTZb+Vs1rSwyPtUBznLm2yf0/WPr5uLVIMJjdA0aK dDCjZ6E4ms/z0JzeuAJ8KrW1oTx6Uq/mWdOvDildtUTteST5djYQmIWI5CYkKM5Ail3/STPwIQev Y6dOje0CJPQAneJAzteB8JNHFIzzu3uMKNiDELBJcQkz1vmPXHcoCCWWwDnCkuOz84PrxSVkUXoj pAQ7KaRCfcgUZKelYOEmKna/q6RFRwLLUqXhG5PeuFl9UCwitZyw9Sh7IuQgA0mpAh5UAVxGadiG b4/p43qxXuSTfDZfT/K0ricfNlU+mW+yh/v6rq6qOvseqGV50QrGuArsLpuZ5X83+fGNDDt13c1r D5Jb9NhXIHv5R9JxjGFyww7sNDtvbehrmCgsY3QeH07Y9l/16PXzea9+AAAA//8DAFBLAwQUAAYA CAAAACEA2dhkEd0AAAANAQAADwAAAGRycy9kb3ducmV2LnhtbExPy07DMBC8I/EP1iJxozahom2I UyEQB0Q5UEC9buMliYjXUew24e9ZxAFuuzOjeRTryXfqSENsA1u4nBlQxFVwLdcW3l4fLpagYkJ2 2AUmC18UYV2enhSYuzDyCx23qVZiwjFHC01Kfa51rBryGGehJxbuIwwek7xDrd2Ao5j7TmfGXGuP LUtCgz3dNVR9bg/egh7r3cJsDGbvT+F+d/X4nG3mztrzs+n2BlSiKf2J4ae+VIdSOu3DgV1UnYXV fLkQqRCSIyNEIpAc+19oBbos9P8V5TcAAAD//wMAUEsBAi0AFAAGAAgAAAAhALaDOJL+AAAA4QEA ABMAAAAAAAAAAAAAAAAAAAAAAFtDb250ZW50X1R5cGVzXS54bWxQSwECLQAUAAYACAAAACEAOP0h /9YAAACUAQAACwAAAAAAAAAAAAAAAAAvAQAAX3JlbHMvLnJlbHNQSwECLQAUAAYACAAAACEAzhru ABICAAAmBAAADgAAAAAAAAAAAAAAAAAuAgAAZHJzL2Uyb0RvYy54bWxQSwECLQAUAAYACAAAACEA 2dhkEd0AAAANAQAADwAAAAAAAAAAAAAAAABsBAAAZHJzL2Rvd25yZXYueG1sUEsFBgAAAAAEAAQA 8wAAAHYFAAAAAA== " strokecolor="silver" strokeweight="0"/>
                    </w:pict>
                  </mc:Fallback>
                </mc:AlternateContent>
                <mc:AlternateContent>
                  <mc:Choice Requires="wps">
                    <w:drawing>
                      <wp:anchor distT="0" distB="0" distL="114300" distR="114300" simplePos="0" relativeHeight="251783168" behindDoc="0" locked="0" layoutInCell="1" allowOverlap="1">
                        <wp:simplePos x="0" y="0"/>
                        <wp:positionH relativeFrom="column">
                          <wp:posOffset>6024245</wp:posOffset>
                        </wp:positionH>
                        <wp:positionV relativeFrom="paragraph">
                          <wp:posOffset>7468235</wp:posOffset>
                        </wp:positionV>
                        <wp:extent cx="10160" cy="8890"/>
                        <wp:effectExtent l="4445" t="635" r="4445" b="0"/>
                        <wp:wrapNone/>
                        <wp:docPr id="18" name="Rectangle 6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3" o:spid="_x0000_s1026" style="position:absolute;margin-left:474.35pt;margin-top:588.05pt;width:.8pt;height:.7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0vQVfAIAAPoEAAAOAAAAZHJzL2Uyb0RvYy54bWysVFGPEjEQfjfxPzR953YXF47dsFzuQIwJ 6sXTH1DaLtvYbWtbWDjjf3faBQT1wRgh6bad6fSb+b7p9G7fSrTj1gmtKpzdpBhxRTUTalPhz5+W gwlGzhPFiNSKV/jAHb6bvXwx7UzJh7rRknGLIIhyZWcq3HhvyiRxtOEtcTfacAXGWtuWeFjaTcIs 6SB6K5Nhmo6TTltmrKbcOdhd9EY8i/HrmlP/oa4d90hWGLD5ONo4rsOYzKak3FhiGkGPMMg/oGiJ UHDpOdSCeIK2VvwWqhXUaqdrf0N1m+i6FpTHHCCbLP0lm6eGGB5zgeI4cy6T+39h6fvdo0WCAXfA lCItcPQRqkbURnI0Hr8KFeqMK8HxyTzakKMzK02/OKT0vAE/fm+t7hpOGODKgn9ydSAsHBxF6+6d ZhCfbL2OxdrXtg0BoQxoHzk5nDnhe48obGZpNgbiKFgmkyISlpDydNJY599w3aIwqbAF5DEy2a2c D0hIeXKJyLUUbCmkjAu7Wc+lRTsC2pin4R/BQ4KXblIFZ6XDsT5ivwMA4Y5gC1Aj19+KbJinD8Ni sBxPbgf5Mh8Nitt0Mkiz4qEYp3mRL5bfA8AsLxvBGFcrofhJd1n+d7weO6BXTFQe6ipcjIajmPsV eneZZBp/f0qyFR7aUIoWqnx2ImUg9bVikDYpPRGynyfX8GOVoQanb6xKlEBgvVfPWrMDKMBqIAnY hAcDJo22zxh10HwVdl+3xHKM5FsFKiqyPA/dGhf56HYIC3tpWV9aiKIQqsIeo346932Hb40VmwZu ymJhlL4H5dUiCiOoskd11Cs0WMzg+BiEDr5cR6+fT9bsBwAAAP//AwBQSwMEFAAGAAgAAAAhAD+3 r4fgAAAADQEAAA8AAABkcnMvZG93bnJldi54bWxMj8FOwzAMhu9IvENkJG4s7bq1W2k6TUjAEW1D nLPGtGWNUzXpVt4ew2Uc7f/T78/FZrKdOOPgW0cK4lkEAqlypqVawfvh+WEFwgdNRneOUME3etiU tzeFzo270A7P+1ALLiGfawVNCH0upa8atNrPXI/E2acbrA48DrU0g75wue3kPIpSaXVLfKHRPT41 WJ32o1UgD+kQTski+doFP9/a8eX1rfpQ6v5u2j6CCDiFKwy/+qwOJTsd3UjGi07BerHKGOUgztIY BCPrZZSAOP6tsiXIspD/vyh/AAAA//8DAFBLAQItABQABgAIAAAAIQC2gziS/gAAAOEBAAATAAAA AAAAAAAAAAAAAAAAAABbQ29udGVudF9UeXBlc10ueG1sUEsBAi0AFAAGAAgAAAAhADj9If/WAAAA lAEAAAsAAAAAAAAAAAAAAAAALwEAAF9yZWxzLy5yZWxzUEsBAi0AFAAGAAgAAAAhAG/S9BV8AgAA +gQAAA4AAAAAAAAAAAAAAAAALgIAAGRycy9lMm9Eb2MueG1sUEsBAi0AFAAGAAgAAAAhAD+3r4fg AAAADQEAAA8AAAAAAAAAAAAAAAAA1gQAAGRycy9kb3ducmV2LnhtbFBLBQYAAAAABAAEAPMAAADj BQAAAAA= " fillcolor="silver" stroked="f"/>
                    </w:pict>
                  </mc:Fallback>
                </mc:AlternateContent>
                <mc:AlternateContent>
                  <mc:Choice Requires="wps">
                    <w:drawing>
                      <wp:anchor distT="0" distB="0" distL="114300" distR="114300" simplePos="0" relativeHeight="251782144" behindDoc="0" locked="0" layoutInCell="1" allowOverlap="1">
                        <wp:simplePos x="0" y="0"/>
                        <wp:positionH relativeFrom="column">
                          <wp:posOffset>6024245</wp:posOffset>
                        </wp:positionH>
                        <wp:positionV relativeFrom="paragraph">
                          <wp:posOffset>7468235</wp:posOffset>
                        </wp:positionV>
                        <wp:extent cx="635" cy="635"/>
                        <wp:effectExtent l="13970" t="10160" r="13970" b="8255"/>
                        <wp:wrapNone/>
                        <wp:docPr id="19" name="Line 6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2" o:spid="_x0000_s1026" style="position:absolute;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88.05pt" to="474.4pt,588.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9YH5VEgIAACYEAAAOAAAAZHJzL2Uyb0RvYy54bWysU82O2jAQvlfqO1i+QxI2SyEirKoEetm2 SLt9AGM7xKpjW7YhoKrv3rETaGkvVVVFcmbGM9988+PV07mT6MStE1qVOJumGHFFNRPqUOIvr9vJ AiPniWJEasVLfOEOP63fvln1puAz3WrJuEUAolzRmxK33psiSRxteUfcVBuu4LLRtiMeVHtImCU9 oHcymaXpPOm1ZcZqyp0Daz1c4nXEbxpO/eemcdwjWWLg5uNp47kPZ7JekeJgiWkFHWmQf2DREaEg 6Q2qJp6goxV/QHWCWu1046dUd4luGkF5rAGqydLfqnlpieGxFmiOM7c2uf8HSz+ddhYJBrNbYqRI BzN6Foqj+XwWmtMbV4BPpXY2lEfP6sU8a/rVIaWrlqgDjyRfLwYCsxCR3IUExRlIse8/agY+5Oh1 7NS5sV2AhB6gcxzI5TYQfvaIgnH+8IgRBXsQAjYprmHGOv+B6w4FocQSOEdYcnp2fnC9uoQsSm+F lGAnhVSoD5mC7LQULNxExR72lbToRGBZqjR8Y9I7N6uPikWklhO2GWVPhBxkIClVwIMqgMsoDdvw bZkuN4vNIp/ks/lmkqd1PXm/rfLJfJu9e6wf6qqqs++BWpYXrWCMq8DuuplZ/neTH9/IsFO33bz1 ILlHj30Fstd/JB3HGCY37MBes8vOhr6GicIyRufx4YRt/1WPXj+f9/oHAAAA//8DAFBLAwQUAAYA CAAAACEADon1MN8AAAANAQAADwAAAGRycy9kb3ducmV2LnhtbEyPwU7DMBBE70j8g7VI3KidUDVt iFMhEAdEe6BQ9bqNTRIRr6PYbcLfs4gDHHfmaXamWE+uE2c7hNaThmSmQFiqvGmp1vD+9nSzBBEi ksHOk9XwZQOsy8uLAnPjR3q1512sBYdQyFFDE2OfSxmqxjoMM99bYu/DDw4jn0MtzYAjh7tOpkot pMOW+EODvX1obPW5OzkNcqwPmdooTPcv/vFw+7xNN3Oj9fXVdH8HItop/sHwU5+rQ8mdjv5EJohO w2q+zBhlI8kWCQhGWOI1x18pBVkW8v+K8hsAAP//AwBQSwECLQAUAAYACAAAACEAtoM4kv4AAADh AQAAEwAAAAAAAAAAAAAAAAAAAAAAW0NvbnRlbnRfVHlwZXNdLnhtbFBLAQItABQABgAIAAAAIQA4 /SH/1gAAAJQBAAALAAAAAAAAAAAAAAAAAC8BAABfcmVscy8ucmVsc1BLAQItABQABgAIAAAAIQC9 YH5VEgIAACYEAAAOAAAAAAAAAAAAAAAAAC4CAABkcnMvZTJvRG9jLnhtbFBLAQItABQABgAIAAAA IQAOifUw3wAAAA0BAAAPAAAAAAAAAAAAAAAAAGwEAABkcnMvZG93bnJldi54bWxQSwUGAAAAAAQA BADzAAAAeAUAAAAA " strokecolor="silver" strokeweight="0"/>
                    </w:pict>
                  </mc:Fallback>
                </mc:AlternateContent>
                <mc:AlternateContent>
                  <mc:Choice Requires="wps">
                    <w:drawing>
                      <wp:anchor distT="0" distB="0" distL="114300" distR="114300" simplePos="0" relativeHeight="251781120" behindDoc="0" locked="0" layoutInCell="1" allowOverlap="1">
                        <wp:simplePos x="0" y="0"/>
                        <wp:positionH relativeFrom="column">
                          <wp:posOffset>6024245</wp:posOffset>
                        </wp:positionH>
                        <wp:positionV relativeFrom="paragraph">
                          <wp:posOffset>7310755</wp:posOffset>
                        </wp:positionV>
                        <wp:extent cx="10160" cy="9525"/>
                        <wp:effectExtent l="4445" t="0" r="4445" b="4445"/>
                        <wp:wrapNone/>
                        <wp:docPr id="20" name="Rectangle 6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1" o:spid="_x0000_s1026" style="position:absolute;margin-left:474.35pt;margin-top:575.65pt;width:.8pt;height:.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sVxYdwIAAPoEAAAOAAAAZHJzL2Uyb0RvYy54bWysVNuO0zAQfUfiHyy/t0mq9JKo6Wq3pQip wIqFD3Btp7FwbGO7TQvi3xk7bekCDwjRSo7tGR+fmTnj+d2xlejArRNaVTgbphhxRTUTalfhTx/X gxlGzhPFiNSKV/jEHb5bvHwx70zJR7rRknGLAES5sjMVbrw3ZZI42vCWuKE2XIGx1rYlHpZ2lzBL OkBvZTJK00nSacuM1ZQ7B7ur3ogXEb+uOfXv69pxj2SFgZuPo43jNozJYk7KnSWmEfRMg/wDi5YI BZdeoVbEE7S34jeoVlCrna79kOo20XUtKI8xQDRZ+ks0Tw0xPMYCyXHmmib3/2Dpu8OjRYJVeATp UaSFGn2ArBG1kxxNJlnIUGdcCY5P5tGGGJ3ZaPrZIaWXDfjxe2t113DCgFf0T54dCAsHR9G2e6sZ 4JO91zFZx9q2ARDSgI6xJqdrTfjRIwqbWZpNgBkFSzEejQOdhJSXk8Y6/5rrFoVJhS0wj8jksHG+ d724ROZaCrYWUsaF3W2X0qIDAW0s0/A/o7tbN6mCs9LhWI/Y7wBBuCPYAtVY629FNsrTh1ExWE9m 00G+zseDYprOBmlWPBSTNC/y1fp7IJjlZSMY42ojFL/oLsv/rq7nDugVE5WHunN2Yly37N1tkGn8 /SnIVnhoQynaCs+uTqQMRX2lGIRNSk+E7OfJc/qxIJCDyzdmJUogVL1Xz1azEyjAaigSVBMeDJg0 2n7FqIPmq7D7sieWYyTfKFBRkeV56Na4yMfToE17a9neWoiiAFVhj1E/Xfq+w/fGil0DN2VRFErf g/JqEYURVNmzAt5hAQ0WIzg/BqGDb9fR6+eTtfgBAAD//wMAUEsDBBQABgAIAAAAIQA2HZwI4AAA AA0BAAAPAAAAZHJzL2Rvd25yZXYueG1sTI/NTsMwEITvSLyDtUjcqPPTljTEqSok4Ijaop7deJuE xusodtrw9ixc4La7M5r9plhPthMXHHzrSEE8i0AgVc60VCv42L88ZCB80GR05wgVfKGHdXl7U+jc uCtt8bILteAQ8rlW0ITQ51L6qkGr/cz1SKyd3GB14HWopRn0lcNtJ5MoWkqrW+IPje7xucHqvBut ArlfDuGcztPPbfDJxo6vb+/VQan7u2nzBCLgFP7M8IPP6FAy09GNZLzoFKzm2SNbWYgXcQqCLatF xMPx95RkIMtC/m9RfgMAAP//AwBQSwECLQAUAAYACAAAACEAtoM4kv4AAADhAQAAEwAAAAAAAAAA AAAAAAAAAAAAW0NvbnRlbnRfVHlwZXNdLnhtbFBLAQItABQABgAIAAAAIQA4/SH/1gAAAJQBAAAL AAAAAAAAAAAAAAAAAC8BAABfcmVscy8ucmVsc1BLAQItABQABgAIAAAAIQA6sVxYdwIAAPoEAAAO AAAAAAAAAAAAAAAAAC4CAABkcnMvZTJvRG9jLnhtbFBLAQItABQABgAIAAAAIQA2HZwI4AAAAA0B AAAPAAAAAAAAAAAAAAAAANEEAABkcnMvZG93bnJldi54bWxQSwUGAAAAAAQABADzAAAA3gUAAAAA " fillcolor="silver" stroked="f"/>
                    </w:pict>
                  </mc:Fallback>
                </mc:AlternateContent>
                <mc:AlternateContent>
                  <mc:Choice Requires="wps">
                    <w:drawing>
                      <wp:anchor distT="0" distB="0" distL="114300" distR="114300" simplePos="0" relativeHeight="251780096" behindDoc="0" locked="0" layoutInCell="1" allowOverlap="1">
                        <wp:simplePos x="0" y="0"/>
                        <wp:positionH relativeFrom="column">
                          <wp:posOffset>6024245</wp:posOffset>
                        </wp:positionH>
                        <wp:positionV relativeFrom="paragraph">
                          <wp:posOffset>7310755</wp:posOffset>
                        </wp:positionV>
                        <wp:extent cx="635" cy="635"/>
                        <wp:effectExtent l="13970" t="5080" r="13970" b="13335"/>
                        <wp:wrapNone/>
                        <wp:docPr id="21" name="Line 6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0"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75.65pt" to="474.4pt,575.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1+JfzEQIAACYEAAAOAAAAZHJzL2Uyb0RvYy54bWysU8GO2yAQvVfqPyDuie2s181acVaVnfSS tpF2+wEEcIyKAQGJE1X99w7ESZv2UlWVJTwDw5s3b4bF86mX6MitE1pVOJumGHFFNRNqX+Evr+vJ HCPniWJEasUrfOYOPy/fvlkMpuQz3WnJuEUAolw5mAp33psySRzteE/cVBuu4LDVticeXLtPmCUD oPcymaVpkQzaMmM15c7BbnM5xMuI37ac+s9t67hHssLAzcfVxnUX1mS5IOXeEtMJOtIg/8CiJ0JB 0htUQzxBByv+gOoFtdrp1k+p7hPdtoLyWANUk6W/VfPSEcNjLSCOMzeZ3P+DpZ+OW4sEq/Asw0iR Hnq0EYqjoojiDMaVEFOrrQ3l0ZN6MRtNvzqkdN0RteeR5OvZwMUsyJncXQmOM5BiN3zUDGLIweuo 1Km1fYAEDdApNuR8awg/eURhs3h4xIjCfjACNimv14x1/gPXPQpGhSVwjrDkuHH+EnoNCVmUXgsp Y7elQkPIFLadloKFk+jY/a6WFh0JDEudhm9Mehdm9UGxiNRxwlaj7YmQFxtIShXwoArgMlqXafj2 lD6t5qt5PslnxWqSp00zeb+u80mxzt49Ng9NXTfZ90Aty8tOMMZVYHedzCz/u86Pb+QyU7fZvGmQ 3KNHXYHs9R9JxzaGzoWn5MqdZuetDboGD4YxBo8PJ0z7r36M+vm8lz8AAAD//wMAUEsDBBQABgAI AAAAIQCnzv/f4AAAAA0BAAAPAAAAZHJzL2Rvd25yZXYueG1sTI/BTsMwEETvSPyDtUjcqJ000BLi VAjEAVEOlFa9uvGSRMTrKHab8Pcs4gDHnXmanSlWk+vECYfQetKQzBQIpMrblmoN2/enqyWIEA1Z 03lCDV8YYFWenxUmt36kNzxtYi04hEJuNDQx9rmUoWrQmTDzPRJ7H35wJvI51NIOZuRw18lUqRvp TEv8oTE9PjRYfW6OToMc6/1CrZVJdy/+cT9/fk3XmdX68mK6vwMRcYp/MPzU5+pQcqeDP5INotNw my0XjLKRXCdzEIywxGsOv1IGsizk/xXlNwAAAP//AwBQSwECLQAUAAYACAAAACEAtoM4kv4AAADh AQAAEwAAAAAAAAAAAAAAAAAAAAAAW0NvbnRlbnRfVHlwZXNdLnhtbFBLAQItABQABgAIAAAAIQA4 /SH/1gAAAJQBAAALAAAAAAAAAAAAAAAAAC8BAABfcmVscy8ucmVsc1BLAQItABQABgAIAAAAIQC1 +JfzEQIAACYEAAAOAAAAAAAAAAAAAAAAAC4CAABkcnMvZTJvRG9jLnhtbFBLAQItABQABgAIAAAA IQCnzv/f4AAAAA0BAAAPAAAAAAAAAAAAAAAAAGsEAABkcnMvZG93bnJldi54bWxQSwUGAAAAAAQA BADzAAAAeAUAAAAA " strokecolor="silver" strokeweight="0"/>
                    </w:pict>
                  </mc:Fallback>
                </mc:AlternateContent>
                <mc:AlternateContent>
                  <mc:Choice Requires="wps">
                    <w:drawing>
                      <wp:anchor distT="0" distB="0" distL="114300" distR="114300" simplePos="0" relativeHeight="251779072" behindDoc="0" locked="0" layoutInCell="1" allowOverlap="1">
                        <wp:simplePos x="0" y="0"/>
                        <wp:positionH relativeFrom="column">
                          <wp:posOffset>6024245</wp:posOffset>
                        </wp:positionH>
                        <wp:positionV relativeFrom="paragraph">
                          <wp:posOffset>7153910</wp:posOffset>
                        </wp:positionV>
                        <wp:extent cx="10160" cy="9525"/>
                        <wp:effectExtent l="4445" t="635" r="4445" b="0"/>
                        <wp:wrapNone/>
                        <wp:docPr id="22" name="Rectangle 6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9" o:spid="_x0000_s1026" style="position:absolute;margin-left:474.35pt;margin-top:563.3pt;width:.8pt;height:.7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zHG1eAIAAPoEAAAOAAAAZHJzL2Uyb0RvYy54bWysVNuO0zAQfUfiHyy/t7kovSTadLXbpQhp gRULH+DaTmPh2MZ2my6If2fspKULPCBEKzm2Z3x8ZuaMr66PnUQHbp3QqsbZNMWIK6qZULsaf/q4 mSwxcp4oRqRWvMZP3OHr1csXV72peK5bLRm3CECUq3pT49Z7UyWJoy3viJtqwxUYG2074mFpdwmz pAf0TiZ5ms6TXltmrKbcOdi9G4x4FfGbhlP/vmkc90jWGLj5ONo4bsOYrK5ItbPEtIKONMg/sOiI UHDpGeqOeIL2VvwG1QlqtdONn1LdJbppBOUxBogmS3+J5rElhsdYIDnOnNPk/h8sfXd4sEiwGuc5 Rop0UKMPkDWidpKj+awMGeqNq8Dx0TzYEKMz95p+dkjpdQt+/MZa3becMOCVBf/k2YGwcHAUbfu3 mgE+2Xsdk3VsbBcAIQ3oGGvydK4JP3pEYTNLszkUjoKlnOWzCE+q00ljnX/NdYfCpMYWmEdkcrh3 PjAh1cklMtdSsI2QMi7sbruWFh0IaGOdhv+I7i7dpArOSodjA+KwAwThjmALVGOtv5VZXqS3eTnZ zJeLSbEpZpNykS4naVbelvO0KIu7zfdAMCuqVjDG1b1Q/KS7rPi7uo4dMCgmKg/1Y3ZiXJfs3WWQ afz9KchOeGhDKboaL89OpApFfaUYhE0qT4Qc5slz+jHLkIPTN2YlSiBUfVDPVrMnUIDVUCSoJjwY MGm1/YpRD81XY/dlTyzHSL5RoKIyK4rQrXFRzBY5LOylZXtpIYoCVI09RsN07YcO3xsrdi3clEVR KH0DymtEFEZQ5cBq1Cs0WIxgfAxCB1+uo9fPJ2v1AwAA//8DAFBLAwQUAAYACAAAACEAbWHm9uAA AAANAQAADwAAAGRycy9kb3ducmV2LnhtbEyPTU/DMAyG70j8h8hI3Fj6MUpXmk4TEnBE2xDnrDFt WeNUTbqVf4/hMo72++j143I9216ccPSdIwXxIgKBVDvTUaPgff98l4PwQZPRvSNU8I0e1tX1VakL 4860xdMuNIJLyBdaQRvCUEjp6xat9gs3IHH26UarA49jI82oz1xue5lEUSat7ogvtHrApxbr426y CuQ+G8MxXaZf2+CTjZ1eXt/qD6Vub+bNI4iAc7jA8KvP6lCx08FNZLzoFayW+QOjHMRJloFgZHUf pSAOf6s8BlmV8v8X1Q8AAAD//wMAUEsBAi0AFAAGAAgAAAAhALaDOJL+AAAA4QEAABMAAAAAAAAA AAAAAAAAAAAAAFtDb250ZW50X1R5cGVzXS54bWxQSwECLQAUAAYACAAAACEAOP0h/9YAAACUAQAA CwAAAAAAAAAAAAAAAAAvAQAAX3JlbHMvLnJlbHNQSwECLQAUAAYACAAAACEAQsxxtXgCAAD6BAAA DgAAAAAAAAAAAAAAAAAuAgAAZHJzL2Uyb0RvYy54bWxQSwECLQAUAAYACAAAACEAbWHm9uAAAAAN AQAADwAAAAAAAAAAAAAAAADSBAAAZHJzL2Rvd25yZXYueG1sUEsFBgAAAAAEAAQA8wAAAN8FAAAA AA== " fillcolor="silver" stroked="f"/>
                    </w:pict>
                  </mc:Fallback>
                </mc:AlternateContent>
                <mc:AlternateContent>
                  <mc:Choice Requires="wps">
                    <w:drawing>
                      <wp:anchor distT="0" distB="0" distL="114300" distR="114300" simplePos="0" relativeHeight="251778048" behindDoc="0" locked="0" layoutInCell="1" allowOverlap="1">
                        <wp:simplePos x="0" y="0"/>
                        <wp:positionH relativeFrom="column">
                          <wp:posOffset>6024245</wp:posOffset>
                        </wp:positionH>
                        <wp:positionV relativeFrom="paragraph">
                          <wp:posOffset>7153910</wp:posOffset>
                        </wp:positionV>
                        <wp:extent cx="635" cy="635"/>
                        <wp:effectExtent l="13970" t="10160" r="13970" b="8255"/>
                        <wp:wrapNone/>
                        <wp:docPr id="23" name="Line 6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58" o:spid="_x0000_s1026" style="position:absolute;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63.3pt" to="474.4pt,563.3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IVrhEQIAACYEAAAOAAAAZHJzL2Uyb0RvYy54bWysU8uu0zAQ3SPxD5b3bZK+6I2aXqGkZVOg 0r18gGs7jYVjW7bbtEL8O2MnLRQ2CKFIzsx45syZh1fPl1aiM7dOaFXgbJxixBXVTKhjgb+8bkdL jJwnihGpFS/wlTv8vH77ZtWZnE90oyXjFgGIcnlnCtx4b/IkcbThLXFjbbiCy1rblnhQ7TFhlnSA 3spkkqaLpNOWGaspdw6sVX+J1xG/rjn1n+vacY9kgYGbj6eN5yGcyXpF8qMlphF0oEH+gUVLhIKk d6iKeIJOVvwB1QpqtdO1H1PdJrquBeWxBqgmS3+r5qUhhsdaoDnO3Nvk/h8s/XTeWyRYgSdTjBRp YUY7oThazJehOZ1xOfiUam9DefSiXsxO068OKV02RB15JPl6NRCYhYjkISQozkCKQ/dRM/AhJ69j py61bQMk9ABd4kCu94Hwi0cUjIvpHCMK9iAEbJLfwox1/gPXLQpCgSVwjrDkvHO+d725hCxKb4WU YCe5VKgLmYLstBQs3ETFHg+ltOhMYFnKNHxD0gc3q0+KRaSGE7YZZE+E7GUgKVXAgyqAyyD12/Dt KX3aLDfL2Wg2WWxGs7SqRu+35Wy02Gbv5tW0Kssq+x6oZbO8EYxxFdjdNjOb/d3khzfS79R9N+89 SB7RY1+B7O0fSccxhsn1O3DQ7Lq3oa9horCM0Xl4OGHbf9Wj18/nvf4BAAD//wMAUEsDBBQABgAI AAAAIQAlr8Hq3wAAAA0BAAAPAAAAZHJzL2Rvd25yZXYueG1sTI/BTsMwEETvSPyDtUjcqN1QJW2I UyEQB0R7oFD16sZLEhGvo9htwt+ziAMcd+ZpdqZYT64TZxxC60nDfKZAIFXetlRreH97ulmCCNGQ NZ0n1PCFAdbl5UVhcutHesXzLtaCQyjkRkMTY59LGaoGnQkz3yOx9+EHZyKfQy3tYEYOd51MlEql My3xh8b0+NBg9bk7OQ1yrA+Z2iiT7F/84+H2eZtsFlbr66vp/g5ExCn+wfBTn6tDyZ2O/kQ2iE7D arHMGGVjnqQpCEZY4jXHXykDWRby/4ryGwAA//8DAFBLAQItABQABgAIAAAAIQC2gziS/gAAAOEB AAATAAAAAAAAAAAAAAAAAAAAAABbQ29udGVudF9UeXBlc10ueG1sUEsBAi0AFAAGAAgAAAAhADj9 If/WAAAAlAEAAAsAAAAAAAAAAAAAAAAALwEAAF9yZWxzLy5yZWxzUEsBAi0AFAAGAAgAAAAhAOUh WuERAgAAJgQAAA4AAAAAAAAAAAAAAAAALgIAAGRycy9lMm9Eb2MueG1sUEsBAi0AFAAGAAgAAAAh ACWvwerfAAAADQEAAA8AAAAAAAAAAAAAAAAAawQAAGRycy9kb3ducmV2LnhtbFBLBQYAAAAABAAE APMAAAB3BQAAAAA= " strokecolor="silver" strokeweight="0"/>
                    </w:pict>
                  </mc:Fallback>
                </mc:AlternateContent>
                <mc:AlternateContent>
                  <mc:Choice Requires="wps">
                    <w:drawing>
                      <wp:anchor distT="0" distB="0" distL="114300" distR="114300" simplePos="0" relativeHeight="251777024" behindDoc="0" locked="0" layoutInCell="1" allowOverlap="1">
                        <wp:simplePos x="0" y="0"/>
                        <wp:positionH relativeFrom="column">
                          <wp:posOffset>6024245</wp:posOffset>
                        </wp:positionH>
                        <wp:positionV relativeFrom="paragraph">
                          <wp:posOffset>6997065</wp:posOffset>
                        </wp:positionV>
                        <wp:extent cx="10160" cy="9525"/>
                        <wp:effectExtent l="4445" t="0" r="4445" b="3810"/>
                        <wp:wrapNone/>
                        <wp:docPr id="24" name="Rectangle 6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7" o:spid="_x0000_s1026" style="position:absolute;margin-left:474.35pt;margin-top:550.95pt;width:.8pt;height:.7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sMunceAIAAPoEAAAOAAAAZHJzL2Uyb0RvYy54bWysVG2PEyEQ/m7ifyB8b/cl25fddHu5a60x OfXi6Q+gwHaJLCDQbk/jf3dg29pTPxhjm7DADA/PzDzD4ubYSXTg1gmtapyNU4y4opoJtavxp4+b 0Rwj54liRGrFa/zEHb5Zvnyx6E3Fc91qybhFAKJc1Zsat96bKkkcbXlH3FgbrsDYaNsRD0u7S5gl PaB3MsnTdJr02jJjNeXOwe56MOJlxG8aTv37pnHcI1lj4ObjaOO4DWOyXJBqZ4lpBT3RIP/AoiNC waUXqDXxBO2t+A2qE9Rqpxs/prpLdNMIymMMEE2W/hLNY0sMj7FAcpy5pMn9P1j67vBgkWA1zguM FOmgRh8ga0TtJEfTySxkqDeuAsdH82BDjM7ca/rZIaVXLfjxW2t133LCgFcW/JNnB8LCwVG07d9q Bvhk73VM1rGxXQCENKBjrMnTpSb86BGFzSzNplA4CpZykk8iPKnOJ411/jXXHQqTGltgHpHJ4d75 wIRUZ5fIXEvBNkLKuLC77UpadCCgjVUa/id0d+0mVXBWOhwbEIcdIAh3BFugGmv9rczyIr3Ly9Fm Op+Nik0xGZWzdD5Ks/KunKZFWaw33wPBrKhawRhX90Lxs+6y4u/qeuqAQTFReag/ZSfGdc3eXQeZ xt+fguyEhzaUoqvx/OJEqlDUV4pB2KTyRMhhnjynH7MMOTh/Y1aiBELVB/VsNXsCBVgNRYJqwoMB k1bbrxj10Hw1dl/2xHKM5BsFKiqzogjdGhfFZJbDwl5bttcWoihA1dhjNExXfujwvbFi18JNWRSF 0regvEZEYQRVDqxOeoUGixGcHoPQwdfr6PXzyVr+AAAA//8DAFBLAwQUAAYACAAAACEAuWfVCOAA AAANAQAADwAAAGRycy9kb3ducmV2LnhtbEyPwU7DMAyG70i8Q2QkbizpWsbaNZ0mJOCItiHOWeO1 ZU1SJelW3h7DZRzt/9Pvz+V6Mj07ow+dsxKSmQCGtna6s42Ej/3LwxJYiMpq1TuLEr4xwLq6vSlV od3FbvG8iw2jEhsKJaGNcSg4D3WLRoWZG9BSdnTeqEijb7j26kLlpudzIRbcqM7ShVYN+NxifdqN RgLfL3w8pVn6tY1hvjHj69t7/Snl/d20WQGLOMUrDL/6pA4VOR3caHVgvYQ8Wz4RSkEikhwYIfmj SIEd/lZpBrwq+f8vqh8AAAD//wMAUEsBAi0AFAAGAAgAAAAhALaDOJL+AAAA4QEAABMAAAAAAAAA AAAAAAAAAAAAAFtDb250ZW50X1R5cGVzXS54bWxQSwECLQAUAAYACAAAACEAOP0h/9YAAACUAQAA CwAAAAAAAAAAAAAAAAAvAQAAX3JlbHMvLnJlbHNQSwECLQAUAAYACAAAACEArDLp3HgCAAD6BAAA DgAAAAAAAAAAAAAAAAAuAgAAZHJzL2Uyb0RvYy54bWxQSwECLQAUAAYACAAAACEAuWfVCOAAAAAN AQAADwAAAAAAAAAAAAAAAADSBAAAZHJzL2Rvd25yZXYueG1sUEsFBgAAAAAEAAQA8wAAAN8FAAAA AA== " fillcolor="silver" stroked="f"/>
                    </w:pict>
                  </mc:Fallback>
                </mc:AlternateContent>
                <mc:AlternateContent>
                  <mc:Choice Requires="wps">
                    <w:drawing>
                      <wp:anchor distT="0" distB="0" distL="114300" distR="114300" simplePos="0" relativeHeight="251776000" behindDoc="0" locked="0" layoutInCell="1" allowOverlap="1">
                        <wp:simplePos x="0" y="0"/>
                        <wp:positionH relativeFrom="column">
                          <wp:posOffset>6024245</wp:posOffset>
                        </wp:positionH>
                        <wp:positionV relativeFrom="paragraph">
                          <wp:posOffset>6997065</wp:posOffset>
                        </wp:positionV>
                        <wp:extent cx="635" cy="635"/>
                        <wp:effectExtent l="13970" t="5715" r="13970" b="12700"/>
                        <wp:wrapNone/>
                        <wp:docPr id="25" name="Line 6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56" o:spid="_x0000_s1026" style="position:absolute;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50.95pt" to="474.4pt,55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CbcwEQIAACYEAAAOAAAAZHJzL2Uyb0RvYy54bWysU82O2jAQvlfqO1i+QxI2UD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VuLZHCNF OpjRs1AcLeaL0JzeuAJ8KrWzoTx6Vi/mWdOvDildtUQdeCT5ejEQmIWI5C4kKM5Ain3/UTPwIUev Y6fOje0CJPQAneNALreB8LNHFIyLByBFwR6EgE2Ka5ixzn/gukNBKLEEzhGWnJ6dH1yvLiGL0lsh JdhJIRXqQ6YgOy0FCzdRsYd9JS06EViWKg3fmPTOzeqjYhGp5YRtRtkTIQcZSEoV8KAK4DJKwzZ8 e0wfN8vNMp/ks8Vmkqd1PXm/rfLJYpu9m9cPdVXV2fdALcuLVjDGVWB33cws/7vJj29k2Knbbt56 kNyjx74C2es/ko5jDJMbdmCv2WVnQ1/DRGEZo/P4cMK2/6pHr5/Pe/0DAAD//wMAUEsDBBQABgAI AAAAIQAh39kc4AAAAA0BAAAPAAAAZHJzL2Rvd25yZXYueG1sTI/BTsMwEETvSP0Ha5G4UTuhom2I UyEQB9T2QAH1uo2XJGpsR7HbhL9nywWOO/M0O5OvRtuKM/Wh8U5DMlUgyJXeNK7S8PH+crsAESI6 g613pOGbAqyKyVWOmfGDe6PzLlaCQ1zIUEMdY5dJGcqaLIap78ix9+V7i5HPvpKmx4HDbStTpe6l xcbxhxo7eqqpPO5OVoMcqv1cbRSmn2v/vL973aabmdH65np8fAARaYx/MFzqc3UouNPBn5wJotWw nC3mjLKRqGQJghGWeM3hV0oVyCKX/1cUPwAAAP//AwBQSwECLQAUAAYACAAAACEAtoM4kv4AAADh AQAAEwAAAAAAAAAAAAAAAAAAAAAAW0NvbnRlbnRfVHlwZXNdLnhtbFBLAQItABQABgAIAAAAIQA4 /SH/1gAAAJQBAAALAAAAAAAAAAAAAAAAAC8BAABfcmVscy8ucmVsc1BLAQItABQABgAIAAAAIQCg CbcwEQIAACYEAAAOAAAAAAAAAAAAAAAAAC4CAABkcnMvZTJvRG9jLnhtbFBLAQItABQABgAIAAAA IQAh39kc4AAAAA0BAAAPAAAAAAAAAAAAAAAAAGsEAABkcnMvZG93bnJldi54bWxQSwUGAAAAAAQA BADzAAAAeAUAAAAA " strokecolor="silver" strokeweight="0"/>
                    </w:pict>
                  </mc:Fallback>
                </mc:AlternateContent>
                <mc:AlternateContent>
                  <mc:Choice Requires="wps">
                    <w:drawing>
                      <wp:anchor distT="0" distB="0" distL="114300" distR="114300" simplePos="0" relativeHeight="251774976" behindDoc="0" locked="0" layoutInCell="1" allowOverlap="1">
                        <wp:simplePos x="0" y="0"/>
                        <wp:positionH relativeFrom="column">
                          <wp:posOffset>6024245</wp:posOffset>
                        </wp:positionH>
                        <wp:positionV relativeFrom="paragraph">
                          <wp:posOffset>6840220</wp:posOffset>
                        </wp:positionV>
                        <wp:extent cx="10160" cy="9525"/>
                        <wp:effectExtent l="4445" t="1270" r="4445" b="0"/>
                        <wp:wrapNone/>
                        <wp:docPr id="26" name="Rectangle 6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5" o:spid="_x0000_s1026" style="position:absolute;margin-left:474.35pt;margin-top:538.6pt;width:.8pt;height:.7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AfN0HegIAAPoEAAAOAAAAZHJzL2Uyb0RvYy54bWysVNuO0zAQfUfiHyy/t7kovSTadLXbpQhp gRULH+DaTmPh2MZ2my6If2fstCULPCBEKzm2Z3x8ZuaMr66PnUQHbp3QqsbZNMWIK6qZULsaf/q4 mSwxcp4oRqRWvMZP3OHr1csXV72peK5bLRm3CECUq3pT49Z7UyWJoy3viJtqwxUYG2074mFpdwmz pAf0TiZ5ms6TXltmrKbcOdi9G4x4FfGbhlP/vmkc90jWGLj5ONo4bsOYrK5ItbPEtIKeaJB/YNER oeDSC9Qd8QTtrfgNqhPUaqcbP6W6S3TTCMpjDBBNlv4SzWNLDI+xQHKcuaTJ/T9Y+u7wYJFgNc7n GCnSQY0+QNaI2kmO5rNZyFBvXAWOj+bBhhidudf0s0NKr1vw4zfW6r7lhAGvLPgnzw6EhYOjaNu/ 1Qzwyd7rmKxjY7sACGlAx1iTp0tN+NEjCptZms2hcBQs5SyPdBJSnU8a6/xrrjsUJjW2wDwik8O9 84EJqc4ukbmWgm2ElHFhd9u1tOhAQBvrNPwjeQhw7CZVcFY6HBsQhx0gCHcEW6Aaa/2tzPIivc3L yWa+XEyKTTGblIt0OUmz8racp0VZ3G2+B4JZUbWCMa7uheJn3WXF39X11AGDYqLyUH/KToxrzN6N g0zj709BdsJDG0rR1Xh5cSJVKOorxSBsUnki5DBPntOPWYYcnL8xK1ECoeqDeraaPYECrIYiQTXh wYBJq+1XjHpovhq7L3tiOUbyjQIVlVlRhG6Ni2K2yGFhx5bt2EIUBagae4yG6doPHb43VuxauCmL olD6BpTXiCiMoMqB1Umv0GAxgtNjEDp4vI5eP5+s1Q8AAAD//wMAUEsDBBQABgAIAAAAIQBAPtpz 3wAAAA0BAAAPAAAAZHJzL2Rvd25yZXYueG1sTI/BTsMwDIbvSLxDZCRuLKEd61aaThMScETbEOes MW1Z41RNupW3x3AZR/v79ftzsZ5cJ044hNaThvuZAoFUedtSreF9/3y3BBGiIWs6T6jhGwOsy+ur wuTWn2mLp12sBZdQyI2GJsY+lzJUDToTZr5HYvbpB2cij0Mt7WDOXO46mSi1kM60xBca0+NTg9Vx NzoNcr8Y4jGdp1/bGJKNG19e36oPrW9vps0jiIhTvIThV5/VoWSngx/JBtFpWM2XGUcZqCxLQHBk 9aBSEIe/FUNZFvL/F+UPAAAA//8DAFBLAQItABQABgAIAAAAIQC2gziS/gAAAOEBAAATAAAAAAAA AAAAAAAAAAAAAABbQ29udGVudF9UeXBlc10ueG1sUEsBAi0AFAAGAAgAAAAhADj9If/WAAAAlAEA AAsAAAAAAAAAAAAAAAAALwEAAF9yZWxzLy5yZWxzUEsBAi0AFAAGAAgAAAAhAMB83Qd6AgAA+gQA AA4AAAAAAAAAAAAAAAAALgIAAGRycy9lMm9Eb2MueG1sUEsBAi0AFAAGAAgAAAAhAEA+2nPfAAAA DQEAAA8AAAAAAAAAAAAAAAAA1AQAAGRycy9kb3ducmV2LnhtbFBLBQYAAAAABAAEAPMAAADgBQAA AAA= " fillcolor="silver" stroked="f"/>
                    </w:pict>
                  </mc:Fallback>
                </mc:AlternateContent>
                <mc:AlternateContent>
                  <mc:Choice Requires="wps">
                    <w:drawing>
                      <wp:anchor distT="0" distB="0" distL="114300" distR="114300" simplePos="0" relativeHeight="251773952" behindDoc="0" locked="0" layoutInCell="1" allowOverlap="1">
                        <wp:simplePos x="0" y="0"/>
                        <wp:positionH relativeFrom="column">
                          <wp:posOffset>6024245</wp:posOffset>
                        </wp:positionH>
                        <wp:positionV relativeFrom="paragraph">
                          <wp:posOffset>6840220</wp:posOffset>
                        </wp:positionV>
                        <wp:extent cx="635" cy="635"/>
                        <wp:effectExtent l="13970" t="10795" r="13970" b="7620"/>
                        <wp:wrapNone/>
                        <wp:docPr id="27" name="Line 6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54" o:spid="_x0000_s1026" style="position:absolute;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38.6pt" to="474.4pt,538.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3hD8EgIAACYEAAAOAAAAZHJzL2Uyb0RvYy54bWysU82O2jAQvlfqO1i+QxI2sGxEWFUJ9EK7 SLt9AGM7xKpjW7YhoKrv3rEJtLSXqqoiOTPjmW+++fHi+dRJdOTWCa1KnI1TjLiimgm1L/GXt/Vo jpHzRDEiteIlPnOHn5fv3y16U/CJbrVk3CIAUa7oTYlb702RJI62vCNurA1XcNlo2xEPqt0nzJIe 0DuZTNJ0lvTaMmM15c6Btb5c4mXEbxpO/UvTOO6RLDFw8/G08dyFM1kuSLG3xLSCDjTIP7DoiFCQ 9AZVE0/QwYo/oDpBrXa68WOqu0Q3jaA81gDVZOlv1by2xPBYCzTHmVub3P+DpZ+PW4sEK/HkESNF OpjRRiiOZtM8NKc3rgCfSm1tKI+e1KvZaPrVIaWrlqg9jyTfzgYCsxCR3IUExRlIses/aQY+5OB1 7NSpsV2AhB6gUxzI+TYQfvKIgnH2MMWIgj0IAZsU1zBjnf/IdYeCUGIJnCMsOW6cv7heXUIWpddC SrCTQirUh0xBdloKFm6iYve7Slp0JLAsVRq+Iemdm9UHxSJSywlbDbInQl5kIClVwIMqgMsgXbbh 21P6tJqv5vkon8xWozyt69GHdZWPZuvscVo/1FVVZ98DtSwvWsEYV4HddTOz/O8mP7yRy07ddvPW g+QePfYVyF7/kXQcY5jcZQd2mp23NvQ1TBSWMToPDyds+6969Pr5vJc/AAAA//8DAFBLAwQUAAYA CAAAACEAv80uft8AAAANAQAADwAAAGRycy9kb3ducmV2LnhtbEyPwU7DMBBE70j8g7VI3KhNWpES 4lQIxAFRDhRQr9t6SSLidRS7Tfh7FnGA4848zc6Uq8l36khDbANbuJwZUMT74FquLby9PlwsQcWE 7LALTBa+KMKqOj0psXBh5Bc6blKtJIRjgRaalPpC67hvyGOchZ5YvI8weExyDrV2A44S7judGXOl PbYsHxrs6a6h/efm4C3osd7mZm0we38K99v543O2Xjhrz8+m2xtQiab0B8NPfakOlXTahQO7qDoL 14tlLqgYJs8zUIKIJGt2v9IcdFXq/yuqbwAAAP//AwBQSwECLQAUAAYACAAAACEAtoM4kv4AAADh AQAAEwAAAAAAAAAAAAAAAAAAAAAAW0NvbnRlbnRfVHlwZXNdLnhtbFBLAQItABQABgAIAAAAIQA4 /SH/1gAAAJQBAAALAAAAAAAAAAAAAAAAAC8BAABfcmVscy8ucmVsc1BLAQItABQABgAIAAAAIQAN 3hD8EgIAACYEAAAOAAAAAAAAAAAAAAAAAC4CAABkcnMvZTJvRG9jLnhtbFBLAQItABQABgAIAAAA IQC/zS5+3wAAAA0BAAAPAAAAAAAAAAAAAAAAAGwEAABkcnMvZG93bnJldi54bWxQSwUGAAAAAAQA BADzAAAAeAUAAAAA " strokecolor="silver" strokeweight="0"/>
                    </w:pict>
                  </mc:Fallback>
                </mc:AlternateContent>
                <mc:AlternateContent>
                  <mc:Choice Requires="wps">
                    <w:drawing>
                      <wp:anchor distT="0" distB="0" distL="114300" distR="114300" simplePos="0" relativeHeight="251772928" behindDoc="0" locked="0" layoutInCell="1" allowOverlap="1">
                        <wp:simplePos x="0" y="0"/>
                        <wp:positionH relativeFrom="column">
                          <wp:posOffset>6024245</wp:posOffset>
                        </wp:positionH>
                        <wp:positionV relativeFrom="paragraph">
                          <wp:posOffset>6683375</wp:posOffset>
                        </wp:positionV>
                        <wp:extent cx="10160" cy="8890"/>
                        <wp:effectExtent l="4445" t="0" r="4445" b="3810"/>
                        <wp:wrapNone/>
                        <wp:docPr id="28" name="Rectangle 6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3" o:spid="_x0000_s1026" style="position:absolute;margin-left:474.35pt;margin-top:526.25pt;width:.8pt;height:.7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sxPyefAIAAPoEAAAOAAAAZHJzL2Uyb0RvYy54bWysVG2PEyEQ/m7ifyB87+2L21530+3lrrXG 5NSLpz+AAtslsoBAu70z/ncHtq2t+sEY24QFZhiemecZZjf7TqIdt05oVePsKsWIK6qZUJsaf/60 Gk0xcp4oRqRWvMZP3OGb+csXs95UPNetloxbBEGUq3pT49Z7UyWJoy3viLvShiswNtp2xMPSbhJm SQ/RO5nkaTpJem2ZsZpy52B3ORjxPMZvGk79h6Zx3CNZY8Dm42jjuA5jMp+RamOJaQU9wCD/gKIj QsGlp1BL4gnaWvFbqE5Qq51u/BXVXaKbRlAec4BssvSXbB5bYnjMBYrjzKlM7v+Fpe93DxYJVuMc mFKkA44+QtWI2kiOJuNXoUK9cRU4PpoHG3J05l7TLw4pvWjBj99aq/uWEwa4suCfXBwICwdH0bp/ pxnEJ1uvY7H2je1CQCgD2kdOnk6c8L1HFDazNJsAcRQs02kZCUtIdTxprPNvuO5QmNTYAvIYmezu nQ9ISHV0ici1FGwlpIwLu1kvpEU7AtpYpOEfwUOC525SBWelw7Eh4rADAOGOYAtQI9ffyiwv0ru8 HK0m0+tRsSrGo/I6nY7SrLwrJ2lRFsvV9wAwK6pWMMbVvVD8qLus+DteDx0wKCYqD/U1Lsf5OOZ+ gd6dJ5nG35+S7ISHNpSigyqfnEgVSH2tGKRNKk+EHObJJfxYZajB8RurEiUQWB/Us9bsCRRgNZAE bMKDAZNW22eMemi+GruvW2I5RvKtAhWVWVGEbo2LYnydw8KeW9bnFqIohKqxx2iYLvzQ4VtjxaaF m7JYGKVvQXmNiMIIqhxQHfQKDRYzODwGoYPP19Hr55M1/wEAAP//AwBQSwMEFAAGAAgAAAAhAHxO bQ3gAAAADQEAAA8AAABkcnMvZG93bnJldi54bWxMj8FOwzAMhu9IvENkJG4soV3H2jWdJiTgiLYh zlnjtWVNUiXpVt4ew2Uc7f/T78/lejI9O6MPnbMSHmcCGNra6c42Ej72Lw9LYCEqq1XvLEr4xgDr 6vamVIV2F7vF8y42jEpsKJSENsah4DzULRoVZm5AS9nReaMijb7h2qsLlZueJ0IsuFGdpQutGvC5 xfq0G40Evl/4eErn6dc2hmRjxte39/pTyvu7abMCFnGKVxh+9UkdKnI6uNHqwHoJ+Xz5RCgFIksy YITkmUiBHf5WaQ68Kvn/L6ofAAAA//8DAFBLAQItABQABgAIAAAAIQC2gziS/gAAAOEBAAATAAAA AAAAAAAAAAAAAAAAAABbQ29udGVudF9UeXBlc10ueG1sUEsBAi0AFAAGAAgAAAAhADj9If/WAAAA lAEAAAsAAAAAAAAAAAAAAAAALwEAAF9yZWxzLy5yZWxzUEsBAi0AFAAGAAgAAAAhAOzE/J58AgAA +gQAAA4AAAAAAAAAAAAAAAAALgIAAGRycy9lMm9Eb2MueG1sUEsBAi0AFAAGAAgAAAAhAHxObQ3g AAAADQEAAA8AAAAAAAAAAAAAAAAA1gQAAGRycy9kb3ducmV2LnhtbFBLBQYAAAAABAAEAPMAAADj BQAAAAA= " fillcolor="silver" stroked="f"/>
                    </w:pict>
                  </mc:Fallback>
                </mc:AlternateContent>
                <mc:AlternateContent>
                  <mc:Choice Requires="wps">
                    <w:drawing>
                      <wp:anchor distT="0" distB="0" distL="114300" distR="114300" simplePos="0" relativeHeight="251771904" behindDoc="0" locked="0" layoutInCell="1" allowOverlap="1">
                        <wp:simplePos x="0" y="0"/>
                        <wp:positionH relativeFrom="column">
                          <wp:posOffset>6024245</wp:posOffset>
                        </wp:positionH>
                        <wp:positionV relativeFrom="paragraph">
                          <wp:posOffset>6683375</wp:posOffset>
                        </wp:positionV>
                        <wp:extent cx="635" cy="635"/>
                        <wp:effectExtent l="13970" t="6350" r="13970" b="12065"/>
                        <wp:wrapNone/>
                        <wp:docPr id="29" name="Line 6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52" o:spid="_x0000_s1026" style="position:absolute;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26.25pt" to="474.4pt,526.3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ICpEQIAACYEAAAOAAAAZHJzL2Uyb0RvYy54bWysU82O2jAQvlfqO1i+QxIWKESEVZVAL7RF 2u0DGNshVh3bsg0BVX33jp1AS3upqiqSMzOe+eabH6+eL61EZ26d0KrA2TjFiCuqmVDHAn953Y4W GDlPFCNSK17gK3f4ef32zaozOZ/oRkvGLQIQ5fLOFLjx3uRJ4mjDW+LG2nAFl7W2LfGg2mPCLOkA vZXJJE3nSactM1ZT7hxYq/4SryN+XXPqP9e14x7JAgM3H08bz0M4k/WK5EdLTCPoQIP8A4uWCAVJ 71AV8QSdrPgDqhXUaqdrP6a6TXRdC8pjDVBNlv5WzUtDDI+1QHOcubfJ/T9Y+um8t0iwAk+WGCnS wox2QnE0n01CczrjcvAp1d6G8uhFvZidpl8dUrpsiDrySPL1aiAwCxHJQ0hQnIEUh+6jZuBDTl7H Tl1q2wZI6AG6xIFc7wPhF48oGOdPM4wo2IMQsEl+CzPW+Q9ctygIBZbAOcKS88753vXmErIovRVS gp3kUqEuZAqy01KwcBMVezyU0qIzgWUp0/ANSR/crD4pFpEaTthmkD0RspeBpFQBD6oALoPUb8O3 ZbrcLDaL6Wg6mW9G07SqRu+35XQ032bvZtVTVZZV9j1Qy6Z5IxjjKrC7bWY2/bvJD2+k36n7bt57 kDyix74C2ds/ko5jDJPrd+Cg2XVvQ1/DRGEZo/PwcMK2/6pHr5/Pe/0DAAD//wMAUEsDBBQABgAI AAAAIQDIbZaz3wAAAA0BAAAPAAAAZHJzL2Rvd25yZXYueG1sTI/NTsMwEITvSLyDtUjcqE3oHyVO hUAcEOVAAfW6jZckIl5HsduEt2cRBzjuzKfZmXw9+lYdqY9NYAuXEwOKuAyu4crC2+vDxRJUTMgO 28Bk4YsirIvTkxxXLgz8QsdtqpSEcFyhhTqlbqV1LGvyGCehIxbvI/Qek5x9pV2Pg4T7VmfGzLXH huVDjR3d1VR+bg/egh6q3cJsDGbvT+F+d/X4nG2mztrzs/H2BlSiMf3B8FNfqkMhnfbhwC6q1sL1 dLkQVAwzy2agBBFJ1ux/pTnoItf/VxTfAAAA//8DAFBLAQItABQABgAIAAAAIQC2gziS/gAAAOEB AAATAAAAAAAAAAAAAAAAAAAAAABbQ29udGVudF9UeXBlc10ueG1sUEsBAi0AFAAGAAgAAAAhADj9 If/WAAAAlAEAAAsAAAAAAAAAAAAAAAAALwEAAF9yZWxzLy5yZWxzUEsBAi0AFAAGAAgAAAAhAH6k gKkRAgAAJgQAAA4AAAAAAAAAAAAAAAAALgIAAGRycy9lMm9Eb2MueG1sUEsBAi0AFAAGAAgAAAAh AMhtlrPfAAAADQEAAA8AAAAAAAAAAAAAAAAAawQAAGRycy9kb3ducmV2LnhtbFBLBQYAAAAABAAE APMAAAB3BQAAAAA= " strokecolor="silver" strokeweight="0"/>
                    </w:pict>
                  </mc:Fallback>
                </mc:AlternateContent>
                <mc:AlternateContent>
                  <mc:Choice Requires="wps">
                    <w:drawing>
                      <wp:anchor distT="0" distB="0" distL="114300" distR="114300" simplePos="0" relativeHeight="251770880" behindDoc="0" locked="0" layoutInCell="1" allowOverlap="1">
                        <wp:simplePos x="0" y="0"/>
                        <wp:positionH relativeFrom="column">
                          <wp:posOffset>6024245</wp:posOffset>
                        </wp:positionH>
                        <wp:positionV relativeFrom="paragraph">
                          <wp:posOffset>6526530</wp:posOffset>
                        </wp:positionV>
                        <wp:extent cx="10160" cy="8890"/>
                        <wp:effectExtent l="4445" t="1905" r="4445" b="0"/>
                        <wp:wrapNone/>
                        <wp:docPr id="31" name="Rectangle 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1" o:spid="_x0000_s1026" style="position:absolute;margin-left:474.35pt;margin-top:513.9pt;width:.8pt;height:.7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MslJfAIAAPoEAAAOAAAAZHJzL2Uyb0RvYy54bWysVG2PEjEQ/m7if2j6ndtdXDh2w3K5AzEm qBdPf0Bpu2xjt61tYeGM/91pFxDUD8YISbfTeekz88x0erdvJdpx64RWFc5uUoy4opoJtanw50/L wQQj54liRGrFK3zgDt/NXr6YdqbkQ91oybhFEES5sjMVbrw3ZZI42vCWuBttuAJlrW1LPIh2kzBL OojeymSYpuOk05YZqyl3Dk4XvRLPYvy65tR/qGvHPZIVBmw+rjau67AmsykpN5aYRtAjDPIPKFoi FFx6DrUgnqCtFb+FagW12una31DdJrquBeUxB8gmS3/J5qkhhsdcoDjOnMvk/l9Y+n73aJFgFX6V YaRICxx9hKoRtZEcjUdZqFBnXAmGT+bRhhydWWn6xSGl5w3Y8XtrdddwwgBXtE+uHILgwBWtu3ea QXyy9ToWa1/bNgSEMqB95ORw5oTvPaJwmKXZGIijoJlMikhYQsqTp7HOv+G6RWFTYQvIY2SyWzkP yMH0ZBKRaynYUkgZBbtZz6VFOwK9MU/DPyQLLu7STKpgrHRw69X9CQCEO4IuQI1cfyuyYZ4+DIvB cjy5HeTLfDQobtPJIM2Kh2Kc5kW+WH4PALO8bARjXK2E4qe+y/K/4/U4AX3HxM5DXYWL0XAUc79C 7y6TTOPvT0m2wsMYStFClc9GpAykvlYM0ialJ0L2++QafiwZ1OD0jVWJLRBY77tnrdkBOsBqIAnY hAcDNo22zxh1MHwVdl+3xHKM5FsFXVRkeR6mNQr56HYIgr3UrC81RFEIVWGPUb+d+37Ct8aKTQM3 ZbEwSt9D59UiNkboyh4V4A4CDFjM4PgYhAm+lKPVzydr9gMAAP//AwBQSwMEFAAGAAgAAAAhABLZ 0K3fAAAADQEAAA8AAABkcnMvZG93bnJldi54bWxMj8FOwzAQRO9I/IO1SNyoQ1LaJsSpKiTgiNoi zm68JKHxOrKdNvw9C5dy3Jmn2ZlyPdlenNCHzpGC+1kCAql2pqNGwfv++W4FIkRNRveOUME3BlhX 11elLow70xZPu9gIDqFQaAVtjEMhZahbtDrM3IDE3qfzVkc+fSON12cOt71Mk2Qhre6IP7R6wKcW 6+NutArkfuHjMZtnX9sY0o0dX17f6g+lbm+mzSOIiFO8wPBbn6tDxZ0ObiQTRK8gn6+WjLKRpEse wUj+kGQgDn9SnoKsSvl/RfUDAAD//wMAUEsBAi0AFAAGAAgAAAAhALaDOJL+AAAA4QEAABMAAAAA AAAAAAAAAAAAAAAAAFtDb250ZW50X1R5cGVzXS54bWxQSwECLQAUAAYACAAAACEAOP0h/9YAAACU AQAACwAAAAAAAAAAAAAAAAAvAQAAX3JlbHMvLnJlbHNQSwECLQAUAAYACAAAACEASDLJSXwCAAD6 BAAADgAAAAAAAAAAAAAAAAAuAgAAZHJzL2Uyb0RvYy54bWxQSwECLQAUAAYACAAAACEAEtnQrd8A AAANAQAADwAAAAAAAAAAAAAAAADWBAAAZHJzL2Rvd25yZXYueG1sUEsFBgAAAAAEAAQA8wAAAOIF AAAAAA== " fillcolor="silver" stroked="f"/>
                    </w:pict>
                  </mc:Fallback>
                </mc:AlternateContent>
                <mc:AlternateContent>
                  <mc:Choice Requires="wps">
                    <w:drawing>
                      <wp:anchor distT="0" distB="0" distL="114300" distR="114300" simplePos="0" relativeHeight="251769856" behindDoc="0" locked="0" layoutInCell="1" allowOverlap="1">
                        <wp:simplePos x="0" y="0"/>
                        <wp:positionH relativeFrom="column">
                          <wp:posOffset>6024245</wp:posOffset>
                        </wp:positionH>
                        <wp:positionV relativeFrom="paragraph">
                          <wp:posOffset>6526530</wp:posOffset>
                        </wp:positionV>
                        <wp:extent cx="635" cy="635"/>
                        <wp:effectExtent l="13970" t="11430" r="13970" b="6985"/>
                        <wp:wrapNone/>
                        <wp:docPr id="576" name="Line 6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50" o:spid="_x0000_s1026" style="position:absolute;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13.9pt" to="474.4pt,513.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7WYQgEgIAACcEAAAOAAAAZHJzL2Uyb0RvYy54bWysU8GO2jAQvVfqP1i+QxI2sGxEWFUJ9EK7 SLv9AGM7xKpjW7YhoKr/3rEJtLSXqqoiOTP2+M2bN+PF86mT6MitE1qVOBunGHFFNRNqX+Ivb+vR HCPniWJEasVLfOYOPy/fv1v0puAT3WrJuEUAolzRmxK33psiSRxteUfcWBuu4LDRtiMeXLtPmCU9 oHcymaTpLOm1ZcZqyp2D3fpyiJcRv2k49S9N47hHssTAzcfVxnUX1mS5IMXeEtMKOtAg/8CiI0JB 0htUTTxBByv+gOoEtdrpxo+p7hLdNILyWANUk6W/VfPaEsNjLSCOMzeZ3P+DpZ+PW4sEK/H0cYaR Ih00aSMUR7NpVKc3roCgSm1tqI+e1KvZaPrVIaWrlqg9jyzfzgYuZkHP5O5KcJyBHLv+k2YQQw5e R6lOje0CJIiATrEj51tH+MkjCpuzhylGFPaDEbBJcb1mrPMfue5QMEosgXOEJceN85fQa0jIovRa SBnbLRXqQ6aw7bQULJxEx+53lbToSGBaqjR8Q9K7MKsPikWklhO2GmxPhLzYQFKqgAdVAJfBuozD t6f0aTVfzfNRPpmtRnla16MP6yofzdbZ47R+qKuqzr4HalletIIxrgK762hm+d+1fngkl6G6DedN g+QePeoKZK//SDq2MXQuvCVX7DQ7b23QNXgwjTF4eDlh3H/1Y9TP9738AQAA//8DAFBLAwQUAAYA CAAAACEAZYfcht0AAAANAQAADwAAAGRycy9kb3ducmV2LnhtbExPy07DMBC8I/EP1iJxozahom2I UyEQB0Q5UEC9buMliYjXUew24e9ZxAFuOw/NzhTryXfqSENsA1u4nBlQxFVwLdcW3l4fLpagYkJ2 2AUmC18UYV2enhSYuzDyCx23qVYSwjFHC01Kfa51rBryGGehJxbtIwwek8Ch1m7AUcJ9pzNjrrXH luVDgz3dNVR9bg/egh7r3cJsDGbvT+F+d/X4nG3mztrzs+n2BlSiKf2Z4ae+VIdSOu3DgV1UnYXV fLkQqwgmW8gIsQglx/6XWoEuC/1/RfkNAAD//wMAUEsBAi0AFAAGAAgAAAAhALaDOJL+AAAA4QEA ABMAAAAAAAAAAAAAAAAAAAAAAFtDb250ZW50X1R5cGVzXS54bWxQSwECLQAUAAYACAAAACEAOP0h /9YAAACUAQAACwAAAAAAAAAAAAAAAAAvAQAAX3JlbHMvLnJlbHNQSwECLQAUAAYACAAAACEA+1mE IBICAAAnBAAADgAAAAAAAAAAAAAAAAAuAgAAZHJzL2Uyb0RvYy54bWxQSwECLQAUAAYACAAAACEA ZYfcht0AAAANAQAADwAAAAAAAAAAAAAAAABsBAAAZHJzL2Rvd25yZXYueG1sUEsFBgAAAAAEAAQA 8wAAAHYFAAAAAA== " strokecolor="silver" strokeweight="0"/>
                    </w:pict>
                  </mc:Fallback>
                </mc:AlternateContent>
                <mc:AlternateContent>
                  <mc:Choice Requires="wps">
                    <w:drawing>
                      <wp:anchor distT="0" distB="0" distL="114300" distR="114300" simplePos="0" relativeHeight="251768832" behindDoc="0" locked="0" layoutInCell="1" allowOverlap="1">
                        <wp:simplePos x="0" y="0"/>
                        <wp:positionH relativeFrom="column">
                          <wp:posOffset>6024245</wp:posOffset>
                        </wp:positionH>
                        <wp:positionV relativeFrom="paragraph">
                          <wp:posOffset>6369685</wp:posOffset>
                        </wp:positionV>
                        <wp:extent cx="10160" cy="8890"/>
                        <wp:effectExtent l="4445" t="0" r="4445" b="3175"/>
                        <wp:wrapNone/>
                        <wp:docPr id="577" name="Rectangle 6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9" o:spid="_x0000_s1026" style="position:absolute;margin-left:474.35pt;margin-top:501.55pt;width:.8pt;height:.7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xf98fQIAAPsEAAAOAAAAZHJzL2Uyb0RvYy54bWysVNuO0zAQfUfiHyy/t0mq9JKo6Wq3pQip wIqFD3Btp7FwbGO7TRfEvzN22tICDwjRSo7tGR+fmTnj+d2xlejArRNaVTgbphhxRTUTalfhTx/X gxlGzhPFiNSKV/iZO3y3ePli3pmSj3SjJeMWAYhyZWcq3HhvyiRxtOEtcUNtuAJjrW1LPCztLmGW dIDeymSUppOk05YZqyl3DnZXvREvIn5dc+rf17XjHskKAzcfRxvHbRiTxZyUO0tMI+iJBvkHFi0R Ci69QK2IJ2hvxW9QraBWO137IdVtoutaUB5jgGiy9JdonhpieIwFkuPMJU3u/8HSd4dHiwSr8Hg6 xUiRFor0AdJG1E5yNMmLkKLOuBI8n8yjDUE6s9H0s0NKLxvw4/fW6q7hhAGxLPgnNwfCwsFRtO3e agb4ZO91zNaxtm0AhDygYyzK86Uo/OgRhc0szSZQOQqW2ayIFUtIeT5prPOvuW5RmFTYAvOITA4b 5wMTUp5dInMtBVsLKePC7rZLadGBgDiWafhH8hDgtZtUwVnpcKxH7HeAINwRbIFqLPa3Ihvl6cOo GKwns+kgX+fjQTFNZ4M0Kx6KSZoX+Wr9PRDM8rIRjHG1EYqfhZflf1fYUwv0konSQ12Fi/FoHGO/ Ye+ug0zj709BtsJDH0rRQpYvTqQMRX2lGIRNSk+E7OfJLf2YZcjB+RuzEiUQqt6rZ6vZMyjAaigS VBNeDJg02n7FqIPuq7D7sieWYyTfKFBRkeV5aNe4yMfTESzstWV7bSGKAlSFPUb9dOn7Ft8bK3YN 3JTFxCh9D8qrRRRGUGXP6qRX6LAYwek1CC18vY5eP9+sxQ8AAAD//wMAUEsDBBQABgAIAAAAIQDX WD/r4AAAAA0BAAAPAAAAZHJzL2Rvd25yZXYueG1sTI/BTsMwDIbvSLxDZCRuLNnaja00nSYk4Ii2 oZ2z1mvLGqdK0q28PYYLHO3/0+/P+Xq0nbigD60jDdOJAoFUuqqlWsPH/uVhCSJEQ5XpHKGGLwyw Lm5vcpNV7kpbvOxiLbiEQmY0NDH2mZShbNCaMHE9Emcn562JPPpaVt5cudx2cqbUQlrTEl9oTI/P DZbn3WA1yP3Cx3OSJp/bGGYbO7y+vZcHre/vxs0TiIhj/IPhR5/VoWCnoxuoCqLTsEqXj4xyoFQy BcHIaq4SEMffVToHWeTy/xfFNwAAAP//AwBQSwECLQAUAAYACAAAACEAtoM4kv4AAADhAQAAEwAA AAAAAAAAAAAAAAAAAAAAW0NvbnRlbnRfVHlwZXNdLnhtbFBLAQItABQABgAIAAAAIQA4/SH/1gAA AJQBAAALAAAAAAAAAAAAAAAAAC8BAABfcmVscy8ucmVsc1BLAQItABQABgAIAAAAIQDixf98fQIA APsEAAAOAAAAAAAAAAAAAAAAAC4CAABkcnMvZTJvRG9jLnhtbFBLAQItABQABgAIAAAAIQDXWD/r 4AAAAA0BAAAPAAAAAAAAAAAAAAAAANcEAABkcnMvZG93bnJldi54bWxQSwUGAAAAAAQABADzAAAA 5AUAAAAA " fillcolor="silver" stroked="f"/>
                    </w:pict>
                  </mc:Fallback>
                </mc:AlternateContent>
                <mc:AlternateContent>
                  <mc:Choice Requires="wps">
                    <w:drawing>
                      <wp:anchor distT="0" distB="0" distL="114300" distR="114300" simplePos="0" relativeHeight="251767808" behindDoc="0" locked="0" layoutInCell="1" allowOverlap="1">
                        <wp:simplePos x="0" y="0"/>
                        <wp:positionH relativeFrom="column">
                          <wp:posOffset>6024245</wp:posOffset>
                        </wp:positionH>
                        <wp:positionV relativeFrom="paragraph">
                          <wp:posOffset>6369685</wp:posOffset>
                        </wp:positionV>
                        <wp:extent cx="635" cy="635"/>
                        <wp:effectExtent l="13970" t="6985" r="13970" b="11430"/>
                        <wp:wrapNone/>
                        <wp:docPr id="578" name="Line 6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8" o:spid="_x0000_s1026" style="position:absolute;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501.55pt" to="474.4pt,501.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QcEZgEwIAACcEAAAOAAAAZHJzL2Uyb0RvYy54bWysU82O2jAQvlfqO1i+QxI2sGxEWFUJ9EK7 SLt9AGM7xKpjW7YhoKrv3rEJtLSXqqoiOTPjmW+++fHi+dRJdOTWCa1KnI1TjLiimgm1L/GXt/Vo jpHzRDEiteIlPnOHn5fv3y16U/CJbrVk3CIAUa7oTYlb702RJI62vCNurA1XcNlo2xEPqt0nzJIe 0DuZTNJ0lvTaMmM15c6Btb5c4mXEbxpO/UvTOO6RLDFw8/G08dyFM1kuSLG3xLSCDjTIP7DoiFCQ 9AZVE0/QwYo/oDpBrXa68WOqu0Q3jaA81gDVZOlv1by2xPBYCzTHmVub3P+DpZ+PW4sEK/H0EUal SAdD2gjF0Syfh+70xhXgVKmtDfXRk3o1G02/OqR01RK155Hl29lAYBYikruQoDgDOXb9J83Ahxy8 jq06NbYLkNAEdIoTOd8mwk8eUTDOHqYYUbAHIWCT4hpmrPMfue5QEEosgXOEJceN8xfXq0vIovRa SAl2UkiF+pApyE5LwcJNVOx+V0mLjgS2pUrDNyS9c7P6oFhEajlhq0H2RMiLDCSlCnhQBXAZpMs6 fHtKn1bz1Twf5ZPZapSndT36sK7y0WydPU7rh7qq6ux7oJblRSsY4yqwu65mlv/d6IdHclmq23Le epDco8e+AtnrP5KOYwyTu+zATrPz1oa+honCNkbn4eWEdf9Vj14/3/fyBwAAAP//AwBQSwMEFAAG AAgAAAAhADP7RtjfAAAADQEAAA8AAABkcnMvZG93bnJldi54bWxMj8FOwzAQRO9I/IO1SNyo3bSi JcSpEIgDoj1QQL1u4yWJiNdR7Dbl71nEAY478zQ7U6xOvlNHGmIb2MJ0YkARV8G1XFt4e328WoKK CdlhF5gsfFGEVXl+VmDuwsgvdNymWkkIxxwtNCn1udaxashjnISeWLyPMHhMcg61dgOOEu47nRlz rT22LB8a7Om+oepze/AW9FjvFmZtMHt/Dg+72dMmW8+dtZcXp7tbUIlO6Q+Gn/pSHUrptA8HdlF1 Fm7my4WgYhgzm4ISRCRZs/+VMtBlof+vKL8BAAD//wMAUEsBAi0AFAAGAAgAAAAhALaDOJL+AAAA 4QEAABMAAAAAAAAAAAAAAAAAAAAAAFtDb250ZW50X1R5cGVzXS54bWxQSwECLQAUAAYACAAAACEA OP0h/9YAAACUAQAACwAAAAAAAAAAAAAAAAAvAQAAX3JlbHMvLnJlbHNQSwECLQAUAAYACAAAACEA 0HBGYBMCAAAnBAAADgAAAAAAAAAAAAAAAAAuAgAAZHJzL2Uyb0RvYy54bWxQSwECLQAUAAYACAAA ACEAM/tG2N8AAAANAQAADwAAAAAAAAAAAAAAAABtBAAAZHJzL2Rvd25yZXYueG1sUEsFBgAAAAAE AAQA8wAAAHkFAAAAAA== " strokecolor="silver" strokeweight="0"/>
                    </w:pict>
                  </mc:Fallback>
                </mc:AlternateContent>
                <mc:AlternateContent>
                  <mc:Choice Requires="wps">
                    <w:drawing>
                      <wp:anchor distT="0" distB="0" distL="114300" distR="114300" simplePos="0" relativeHeight="251766784" behindDoc="0" locked="0" layoutInCell="1" allowOverlap="1">
                        <wp:simplePos x="0" y="0"/>
                        <wp:positionH relativeFrom="column">
                          <wp:posOffset>6024245</wp:posOffset>
                        </wp:positionH>
                        <wp:positionV relativeFrom="paragraph">
                          <wp:posOffset>6212840</wp:posOffset>
                        </wp:positionV>
                        <wp:extent cx="10160" cy="8890"/>
                        <wp:effectExtent l="4445" t="2540" r="4445" b="0"/>
                        <wp:wrapNone/>
                        <wp:docPr id="579" name="Rectangle 6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7" o:spid="_x0000_s1026" style="position:absolute;margin-left:474.35pt;margin-top:489.2pt;width:.8pt;height:.7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JOEQfQIAAPsEAAAOAAAAZHJzL2Uyb0RvYy54bWysVNuO0zAQfUfiHyy/t0mq9JKo6Wq3pQip wIqFD3Btp7FwbGO7TRfEvzN22tICDwjRSo7tGR+fmTnj+d2xlejArRNaVTgbphhxRTUTalfhTx/X gxlGzhPFiNSKV/iZO3y3ePli3pmSj3SjJeMWAYhyZWcq3HhvyiRxtOEtcUNtuAJjrW1LPCztLmGW dIDeymSUppOk05YZqyl3DnZXvREvIn5dc+rf17XjHskKAzcfRxvHbRiTxZyUO0tMI+iJBvkHFi0R Ci69QK2IJ2hvxW9QraBWO137IdVtoutaUB5jgGiy9JdonhpieIwFkuPMJU3u/8HSd4dHiwSr8Hha YKRIC0X6AGkjaic5muTTkKLOuBI8n8yjDUE6s9H0s0NKLxvw4/fW6q7hhAGxLPgnNwfCwsFRtO3e agb4ZO91zNaxtm0AhDygYyzK86Uo/OgRhc0szSZQOQqW2ayIFUtIeT5prPOvuW5RmFTYAvOITA4b 5wMTUp5dInMtBVsLKePC7rZLadGBgDiWafhH8hDgtZtUwVnpcKxH7HeAINwRbIFqLPa3Ihvl6cOo GKwns+kgX+fjQTFNZ4M0Kx6KSZoX+Wr9PRDM8rIRjHG1EYqfhZflf1fYUwv0konSQ12Fi/FoHGO/ Ye+ug0zj709BtsJDH0rRQpYvTqQMRX2lGIRNSk+E7OfJLf2YZcjB+RuzEiUQqt6rZ6vZMyjAaigS VBNeDJg02n7FqIPuq7D7sieWYyTfKFBRkeV5aNe4yMfTESzstWV7bSGKAlSFPUb9dOn7Ft8bK3YN 3JTFxCh9D8qrRRRGUGXP6qRX6LAYwek1CC18vY5eP9+sxQ8AAAD//wMAUEsDBBQABgAIAAAAIQC6 j1wJ3wAAAAsBAAAPAAAAZHJzL2Rvd25yZXYueG1sTI9NT8JAEIbvJv6HzZh4k620Qlu6JcREPRrA eF66Y1vozjbdLdR/73DC23w8eeeZYj3ZTpxx8K0jBc+zCARS5UxLtYKv/dtTCsIHTUZ3jlDBL3pY l/d3hc6Nu9AWz7tQCw4hn2sFTQh9LqWvGrTaz1yPxLsfN1gduB1qaQZ94XDbyXkULaTVLfGFRvf4 2mB12o1WgdwvhnCKk/i4DX6+seP7x2f1rdTjw7RZgQg4hRsMV31Wh5KdDm4k40WnIEvSJaNcLNME BBPZSxSDOFwnWQqyLOT/H8o/AAAA//8DAFBLAQItABQABgAIAAAAIQC2gziS/gAAAOEBAAATAAAA AAAAAAAAAAAAAAAAAABbQ29udGVudF9UeXBlc10ueG1sUEsBAi0AFAAGAAgAAAAhADj9If/WAAAA lAEAAAsAAAAAAAAAAAAAAAAALwEAAF9yZWxzLy5yZWxzUEsBAi0AFAAGAAgAAAAhACUk4RB9AgAA +wQAAA4AAAAAAAAAAAAAAAAALgIAAGRycy9lMm9Eb2MueG1sUEsBAi0AFAAGAAgAAAAhALqPXAnf AAAACwEAAA8AAAAAAAAAAAAAAAAA1wQAAGRycy9kb3ducmV2LnhtbFBLBQYAAAAABAAEAPMAAADj BQAAAAA= " fillcolor="silver" stroked="f"/>
                    </w:pict>
                  </mc:Fallback>
                </mc:AlternateContent>
                <mc:AlternateContent>
                  <mc:Choice Requires="wps">
                    <w:drawing>
                      <wp:anchor distT="0" distB="0" distL="114300" distR="114300" simplePos="0" relativeHeight="251765760" behindDoc="0" locked="0" layoutInCell="1" allowOverlap="1">
                        <wp:simplePos x="0" y="0"/>
                        <wp:positionH relativeFrom="column">
                          <wp:posOffset>6024245</wp:posOffset>
                        </wp:positionH>
                        <wp:positionV relativeFrom="paragraph">
                          <wp:posOffset>6212840</wp:posOffset>
                        </wp:positionV>
                        <wp:extent cx="635" cy="635"/>
                        <wp:effectExtent l="13970" t="12065" r="13970" b="6350"/>
                        <wp:wrapNone/>
                        <wp:docPr id="580" name="Line 6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6" o:spid="_x0000_s1026" style="position:absolute;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89.2pt" to="474.4pt,489.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0NV4oEgIAACcEAAAOAAAAZHJzL2Uyb0RvYy54bWysU8GO2yAQvVfqPyDuie2sk2atOKvKTnrZ tpF2+wEEcIyKAQGJE1X99w7YSZv2UlWVJTzAzJs3b4bV07mT6MStE1qVOJumGHFFNRPqUOIvr9vJ EiPniWJEasVLfOEOP63fvln1puAz3WrJuEUAolzRmxK33psiSRxteUfcVBuu4LLRtiMetvaQMEt6 QO9kMkvTRdJry4zVlDsHp/VwidcRv2k49Z+bxnGPZImBm4+rjes+rMl6RYqDJaYVdKRB/oFFR4SC pDeomniCjlb8AdUJarXTjZ9S3SW6aQTlsQaoJkt/q+alJYbHWkAcZ24yuf8HSz+ddhYJVuL5EvRR pIMmPQvF0SJfBHV64wpwqtTOhvroWb2YZ02/OqR01RJ14JHl68VAYBYikruQsHEGcuz7j5qBDzl6 HaU6N7YLkCACOseOXG4d4WePKBwuHuYYUTgPRsAmxTXMWOc/cN2hYJRYAucIS07Pzg+uV5eQRemt kBLOSSEV6kOmYDstBQs3cWMP+0padCIwLVUavjHpnZvVR8UiUssJ24y2J0IONpCUKuBBFcBltIZx +PaYPm6Wm2U+yWeLzSRP63ryflvlk8U2ezevH+qqqrPvgVqWF61gjKvA7jqaWf53rR8fyTBUt+G8 aZDco0ddgez1H0nHNobODTOw1+yys0HX0FGYxug8vpww7r/uo9fP973+AQAA//8DAFBLAwQUAAYA CAAAACEAh5SEzN4AAAALAQAADwAAAGRycy9kb3ducmV2LnhtbEyPQU/DMAyF70j8h8hI3FhCKbSU phMCcUCMA2PTrllj2orGqZpsLf8ewwVu9vPT8/fK5ex6ccQxdJ40XC4UCKTa244aDZv3p4scRIiG rOk9oYYvDLCsTk9KU1g/0Rse17ERHEKhMBraGIdCylC36ExY+AGJbx9+dCbyOjbSjmbicNfLRKkb 6UxH/KE1Az60WH+uD06DnJpdplbKJNsX/7i7en5NVqnV+vxsvr8DEXGOf2b4wWd0qJhp7w9kg+g1 3KZ5xlYesjwFwQ5WuMz+V7kGWZXyf4fqGwAA//8DAFBLAQItABQABgAIAAAAIQC2gziS/gAAAOEB AAATAAAAAAAAAAAAAAAAAAAAAABbQ29udGVudF9UeXBlc10ueG1sUEsBAi0AFAAGAAgAAAAhADj9 If/WAAAAlAEAAAsAAAAAAAAAAAAAAAAALwEAAF9yZWxzLy5yZWxzUEsBAi0AFAAGAAgAAAAhAPQ1 XigSAgAAJwQAAA4AAAAAAAAAAAAAAAAALgIAAGRycy9lMm9Eb2MueG1sUEsBAi0AFAAGAAgAAAAh AIeUhMz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64736" behindDoc="0" locked="0" layoutInCell="1" allowOverlap="1">
                        <wp:simplePos x="0" y="0"/>
                        <wp:positionH relativeFrom="column">
                          <wp:posOffset>6024245</wp:posOffset>
                        </wp:positionH>
                        <wp:positionV relativeFrom="paragraph">
                          <wp:posOffset>6055360</wp:posOffset>
                        </wp:positionV>
                        <wp:extent cx="10160" cy="9525"/>
                        <wp:effectExtent l="4445" t="0" r="4445" b="2540"/>
                        <wp:wrapNone/>
                        <wp:docPr id="581" name="Rectangle 6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5" o:spid="_x0000_s1026" style="position:absolute;margin-left:474.35pt;margin-top:476.8pt;width:.8pt;height:.7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aVR3TegIAAPsEAAAOAAAAZHJzL2Uyb0RvYy54bWysVNuO0zAQfUfiHyy/t0mq9JKo6Wq3pQip wIqFD3Btp7FwbGO7TQvi3xk7bekCDwjRSo7tGR+fmTnj+d2xlejArRNaVTgbphhxRTUTalfhTx/X gxlGzhPFiNSKV/jEHb5bvHwx70zJR7rRknGLAES5sjMVbrw3ZZI42vCWuKE2XIGx1rYlHpZ2lzBL OkBvZTJK00nSacuM1ZQ7B7ur3ogXEb+uOfXv69pxj2SFgZuPo43jNozJYk7KnSWmEfRMg/wDi5YI BZdeoVbEE7S34jeoVlCrna79kOo20XUtKI8xQDRZ+ks0Tw0xPMYCyXHmmib3/2Dpu8OjRYJVeDzL MFKkhSJ9gLQRtZMcTfJxSFFnXAmeT+bRhiCd2Wj62SGllw348XtrdddwwoBYFvyTZwfCwsFRtO3e agb4ZO91zNaxtm0AhDygYyzK6VoUfvSIwmaWZhOoHAVLMR5FOgkpLyeNdf411y0KkwpbYB6RyWHj fGBCyotLZK6lYGshZVzY3XYpLToQEMcyDf9IHgK8dZMqOCsdjvWI/Q4QhDuCLVCNxf5WZKM8fRgV g/VkNh3k63w8KKbpbJBmxUMxSfMiX62/B4JZXjaCMa42QvGL8LL87wp7boFeMlF6qDtnJ8Z1y97d BpnG35+CbIWHPpSirfDs6kTKUNRXikHYpPREyH6ePKcfsww5uHxjVqIEQtV79Ww1O4ECrIYiQTXh xYBJo+1XjDrovgq7L3tiOUbyjQIVFVmeh3aNi3w8HcHC3lq2txaiKEBV2GPUT5e+b/G9sWLXwE1Z FIXS96C8WkRhBFX2rM56hQ6LEZxfg9DCt+vo9fPNWvwAAAD//wMAUEsDBBQABgAIAAAAIQAt6+dd 3gAAAAsBAAAPAAAAZHJzL2Rvd25yZXYueG1sTI/BTsMwDIbvSLxDZCRuLN26lq00nSYk4Ii2Ic5Z Y9qyxqmSdCtvj3eC22/50+/P5WayvTijD50jBfNZAgKpdqajRsHH4eVhBSJETUb3jlDBDwbYVLc3 pS6Mu9AOz/vYCC6hUGgFbYxDIWWoW7Q6zNyAxLsv562OPPpGGq8vXG57uUiSXFrdEV9o9YDPLdan /WgVyEPu4yldpt+7GBZbO76+vdefSt3fTdsnEBGn+AfDVZ/VoWKnoxvJBNErWC9Xj4xyyNIcBBPr LElBHK8hm4OsSvn/h+oXAAD//wMAUEsBAi0AFAAGAAgAAAAhALaDOJL+AAAA4QEAABMAAAAAAAAA AAAAAAAAAAAAAFtDb250ZW50X1R5cGVzXS54bWxQSwECLQAUAAYACAAAACEAOP0h/9YAAACUAQAA CwAAAAAAAAAAAAAAAAAvAQAAX3JlbHMvLnJlbHNQSwECLQAUAAYACAAAACEAGlUd03oCAAD7BAAA DgAAAAAAAAAAAAAAAAAuAgAAZHJzL2Uyb0RvYy54bWxQSwECLQAUAAYACAAAACEALevnXd4AAAAL AQAADwAAAAAAAAAAAAAAAADUBAAAZHJzL2Rvd25yZXYueG1sUEsFBgAAAAAEAAQA8wAAAN8FAAAA AA== " fillcolor="silver" stroked="f"/>
                    </w:pict>
                  </mc:Fallback>
                </mc:AlternateContent>
                <mc:AlternateContent>
                  <mc:Choice Requires="wps">
                    <w:drawing>
                      <wp:anchor distT="0" distB="0" distL="114300" distR="114300" simplePos="0" relativeHeight="251763712" behindDoc="0" locked="0" layoutInCell="1" allowOverlap="1">
                        <wp:simplePos x="0" y="0"/>
                        <wp:positionH relativeFrom="column">
                          <wp:posOffset>6024245</wp:posOffset>
                        </wp:positionH>
                        <wp:positionV relativeFrom="paragraph">
                          <wp:posOffset>6055360</wp:posOffset>
                        </wp:positionV>
                        <wp:extent cx="635" cy="635"/>
                        <wp:effectExtent l="13970" t="6985" r="13970" b="11430"/>
                        <wp:wrapNone/>
                        <wp:docPr id="582" name="Line 6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4" o:spid="_x0000_s1026" style="position:absolute;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76.8pt" to="474.4pt,476.8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4vnkEwIAACcEAAAOAAAAZHJzL2Uyb0RvYy54bWysU82O2jAQvlfqO1i+QxI2UD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VuL5coaR Ih0M6VkojhZ5HrrTG1eAU6V2NtRHz+rFPGv61SGlq5aoA48sXy8GArMQkdyFBMUZyLHvP2oGPuTo dWzVubFdgIQmoHOcyOU2EX72iIJx8TDHiII9CAGbFNcwY53/wHWHglBiCZwjLDk9Oz+4Xl1CFqW3 Qkqwk0Iq1IdMQXZaChZuomIP+0padCKwLVUavjHpnZvVR8UiUssJ24yyJ0IOMpCUKuBBFcBllIZ1 +PaYPm6Wm2U+yWeLzSRP63ryflvlk8U2ezevH+qqqrPvgVqWF61gjKvA7rqaWf53ox8fybBUt+W8 9SC5R499BbLXfyQdxxgmN+zAXrPLzoa+honCNkbn8eWEdf9Vj14/3/f6BwAAAP//AwBQSwMEFAAG AAgAAAAhAK/NjNPfAAAACwEAAA8AAABkcnMvZG93bnJldi54bWxMj0FPwzAMhe9I/IfISNxYSjfW UZpOCMQBMQ4M0K5eY9qKxqmabC3/HsMFbvbz0/P3ivXkOnWkIbSeDVzOElDElbct1wbeXh8uVqBC RLbYeSYDXxRgXZ6eFJhbP/ILHbexVhLCIUcDTYx9rnWoGnIYZr4nltuHHxxGWYda2wFHCXedTpNk qR22LB8a7Omuoepze3AG9FjvsmSTYPr+5O9388fndLOwxpyfTbc3oCJN8c8MP/iCDqUw7f2BbVCd gevFKhOrDFfzJShxiCJl9r9KBros9P8O5TcAAAD//wMAUEsBAi0AFAAGAAgAAAAhALaDOJL+AAAA 4QEAABMAAAAAAAAAAAAAAAAAAAAAAFtDb250ZW50X1R5cGVzXS54bWxQSwECLQAUAAYACAAAACEA OP0h/9YAAACUAQAACwAAAAAAAAAAAAAAAAAvAQAAX3JlbHMvLnJlbHNQSwECLQAUAAYACAAAACEA WeL55BMCAAAnBAAADgAAAAAAAAAAAAAAAAAuAgAAZHJzL2Uyb0RvYy54bWxQSwECLQAUAAYACAAA ACEAr82M098AAAALAQAADwAAAAAAAAAAAAAAAABtBAAAZHJzL2Rvd25yZXYueG1sUEsFBgAAAAAE AAQA8wAAAHkFAAAAAA== " strokecolor="silver" strokeweight="0"/>
                    </w:pict>
                  </mc:Fallback>
                </mc:AlternateContent>
                <mc:AlternateContent>
                  <mc:Choice Requires="wps">
                    <w:drawing>
                      <wp:anchor distT="0" distB="0" distL="114300" distR="114300" simplePos="0" relativeHeight="251762688" behindDoc="0" locked="0" layoutInCell="1" allowOverlap="1">
                        <wp:simplePos x="0" y="0"/>
                        <wp:positionH relativeFrom="column">
                          <wp:posOffset>6024245</wp:posOffset>
                        </wp:positionH>
                        <wp:positionV relativeFrom="paragraph">
                          <wp:posOffset>5898515</wp:posOffset>
                        </wp:positionV>
                        <wp:extent cx="10160" cy="9525"/>
                        <wp:effectExtent l="4445" t="2540" r="4445" b="0"/>
                        <wp:wrapNone/>
                        <wp:docPr id="583" name="Rectangle 6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3" o:spid="_x0000_s1026" style="position:absolute;margin-left:474.35pt;margin-top:464.45pt;width:.8pt;height:.7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DUuKegIAAPsEAAAOAAAAZHJzL2Uyb0RvYy54bWysVNuO0zAQfUfiHyy/t0m66SVR09VuSxHS AisWPsC1ncbCsY3tNi2If2fstKULPCBEKzm2Z3x8ZuaM57eHVqI9t05oVeFsmGLEFdVMqG2FP31c D2YYOU8UI1IrXuEjd/h28fLFvDMlH+lGS8YtAhDlys5UuPHelEniaMNb4obacAXGWtuWeFjabcIs 6QC9lckoTSdJpy0zVlPuHOyueiNeRPy65tS/r2vHPZIVBm4+jjaOmzAmizkpt5aYRtATDfIPLFoi FFx6gVoRT9DOit+gWkGtdrr2Q6rbRNe1oDzGANFk6S/RPDXE8BgLJMeZS5rc/4Ol7/aPFglW4fHs BiNFWijSB0gbUVvJ0SS/CSnqjCvB88k82hCkMw+afnZI6WUDfvzOWt01nDAglgX/5NmBsHBwFG26 t5oBPtl5HbN1qG0bACEP6BCLcrwUhR88orCZpdkEKkfBUoxH4whPyvNJY51/zXWLwqTCFphHZLJ/ cD4wIeXZJTLXUrC1kDIu7HazlBbtCYhjmYb/Cd1du0kVnJUOx3rEfgcIwh3BFqjGYn8rslGe3o+K wXoymw7ydT4eFNN0Nkiz4r6YpHmRr9bfA8EsLxvBGFcPQvGz8LL87wp7aoFeMlF6qDtlJ8Z1zd5d B5nG35+CbIWHPpSirfDs4kTKUNRXikHYpPREyH6ePKcfsww5OH9jVqIEQtV79Ww0O4ICrIYiQTXh xYBJo+1XjDrovgq7LztiOUbyjQIVFVmeh3aNi3w8HcHCXls21xaiKEBV2GPUT5e+b/GdsWLbwE1Z FIXSd6C8WkRhBFX2rE56hQ6LEZxeg9DC1+vo9fPNWvwAAAD//wMAUEsDBBQABgAIAAAAIQAAuQme 3wAAAAsBAAAPAAAAZHJzL2Rvd25yZXYueG1sTI/BTsMwDIbvSLxDZCRuLKEto+2aThMScETbEOes ydqyxqmSdCtvjzmN22/50+/P1Xq2AzsbH3qHEh4XApjBxukeWwmf+9eHHFiICrUaHBoJPybAur69 qVSp3QW35ryLLaMSDKWS0MU4lpyHpjNWhYUbDdLu6LxVkUbfcu3VhcrtwBMhltyqHulCp0bz0pnm tJusBL5f+nhKs/R7G0OysdPb+0fzJeX93bxZAYtmjlcY/vRJHWpyOrgJdWCDhCLLnwmlkOQFMCKK J5ECO1BIRQa8rvj/H+pfAAAA//8DAFBLAQItABQABgAIAAAAIQC2gziS/gAAAOEBAAATAAAAAAAA AAAAAAAAAAAAAABbQ29udGVudF9UeXBlc10ueG1sUEsBAi0AFAAGAAgAAAAhADj9If/WAAAAlAEA AAsAAAAAAAAAAAAAAAAALwEAAF9yZWxzLy5yZWxzUEsBAi0AFAAGAAgAAAAhAFsNS4p6AgAA+wQA AA4AAAAAAAAAAAAAAAAALgIAAGRycy9lMm9Eb2MueG1sUEsBAi0AFAAGAAgAAAAhAAC5CZ7fAAAA CwEAAA8AAAAAAAAAAAAAAAAA1AQAAGRycy9kb3ducmV2LnhtbFBLBQYAAAAABAAEAPMAAADgBQAA AAA= " fillcolor="silver" stroked="f"/>
                    </w:pict>
                  </mc:Fallback>
                </mc:AlternateContent>
                <mc:AlternateContent>
                  <mc:Choice Requires="wps">
                    <w:drawing>
                      <wp:anchor distT="0" distB="0" distL="114300" distR="114300" simplePos="0" relativeHeight="251761664" behindDoc="0" locked="0" layoutInCell="1" allowOverlap="1">
                        <wp:simplePos x="0" y="0"/>
                        <wp:positionH relativeFrom="column">
                          <wp:posOffset>6024245</wp:posOffset>
                        </wp:positionH>
                        <wp:positionV relativeFrom="paragraph">
                          <wp:posOffset>5898515</wp:posOffset>
                        </wp:positionV>
                        <wp:extent cx="635" cy="635"/>
                        <wp:effectExtent l="13970" t="12065" r="13970" b="6350"/>
                        <wp:wrapNone/>
                        <wp:docPr id="584" name="Line 6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2"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64.45pt" to="474.4pt,46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nGBqEwIAACcEAAAOAAAAZHJzL2Uyb0RvYy54bWysU82O2jAQvlfqO1i+QxI2UDYirKoEetm2 SLt9AGM7xKpjW7YhoKrv3rETaGkvVVVFcmbGM9988+PV07mT6MStE1qVOJumGHFFNRPqUOIvr9vJ EiPniWJEasVLfOEOP63fvln1puAz3WrJuEUAolzRmxK33psiSRxteUfcVBuu4LLRtiMeVHtImCU9 oHcymaXpIum1ZcZqyp0Daz1c4nXEbxpO/eemcdwjWWLg5uNp47kPZ7JekeJgiWkFHWmQf2DREaEg 6Q2qJp6goxV/QHWCWu1046dUd4luGkF5rAGqydLfqnlpieGxFmiOM7c2uf8HSz+ddhYJVuL5MsdI kQ6G9CwUR4t8FrrTG1eAU6V2NtRHz+rFPGv61SGlq5aoA48sXy8GArMQkdyFBMUZyLHvP2oGPuTo dWzVubFdgIQmoHOcyOU2EX72iIJx8TDHiII9CAGbFNcwY53/wHWHglBiCZwjLDk9Oz+4Xl1CFqW3 Qkqwk0Iq1IdMQXZaChZuomIP+0padCKwLVUavjHpnZvVR8UiUssJ24yyJ0IOMpCUKuBBFcBllIZ1 +PaYPm6Wm2U+yWeLzSRP63ryflvlk8U2ezevH+qqqrPvgVqWF61gjKvA7rqaWf53ox8fybBUt+W8 9SC5R499BbLXfyQdxxgmN+zAXrPLzoa+honCNkbn8eWEdf9Vj14/3/f6BwAAAP//AwBQSwMEFAAG AAgAAAAhAMxqk4ffAAAACwEAAA8AAABkcnMvZG93bnJldi54bWxMj0FPwzAMhe9I+w+RJ3FjycrE 2tJ0QiAOiHFggHbNGtNWa5yqydby7/FOcLOfn56/V2wm14kzDqH1pGG5UCCQKm9bqjV8fjzfpCBC NGRN5wk1/GCATTm7Kkxu/UjveN7FWnAIhdxoaGLscylD1aAzYeF7JL59+8GZyOtQSzuYkcNdJxOl 7qQzLfGHxvT42GB13J2cBjnW+7XaKpN8vfqn/e3LW7JdWa2v59PDPYiIU/wzwwWf0aFkpoM/kQ2i 05Ct0jVbeUjSDAQ7WOEyh4uSKZBlIf93KH8BAAD//wMAUEsBAi0AFAAGAAgAAAAhALaDOJL+AAAA 4QEAABMAAAAAAAAAAAAAAAAAAAAAAFtDb250ZW50X1R5cGVzXS54bWxQSwECLQAUAAYACAAAACEA OP0h/9YAAACUAQAACwAAAAAAAAAAAAAAAAAvAQAAX3JlbHMvLnJlbHNQSwECLQAUAAYACAAAACEA 75xgahMCAAAnBAAADgAAAAAAAAAAAAAAAAAuAgAAZHJzL2Uyb0RvYy54bWxQSwECLQAUAAYACAAA ACEAzGqTh98AAAALAQAADwAAAAAAAAAAAAAAAABtBAAAZHJzL2Rvd25yZXYueG1sUEsFBgAAAAAE AAQA8wAAAHkFAAAAAA== " strokecolor="silver" strokeweight="0"/>
                    </w:pict>
                  </mc:Fallback>
                </mc:AlternateContent>
                <mc:AlternateContent>
                  <mc:Choice Requires="wps">
                    <w:drawing>
                      <wp:anchor distT="0" distB="0" distL="114300" distR="114300" simplePos="0" relativeHeight="251760640" behindDoc="0" locked="0" layoutInCell="1" allowOverlap="1">
                        <wp:simplePos x="0" y="0"/>
                        <wp:positionH relativeFrom="column">
                          <wp:posOffset>6024245</wp:posOffset>
                        </wp:positionH>
                        <wp:positionV relativeFrom="paragraph">
                          <wp:posOffset>5741670</wp:posOffset>
                        </wp:positionV>
                        <wp:extent cx="10160" cy="9525"/>
                        <wp:effectExtent l="4445" t="0" r="4445" b="1905"/>
                        <wp:wrapNone/>
                        <wp:docPr id="585" name="Rectangle 6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1" o:spid="_x0000_s1026" style="position:absolute;margin-left:474.35pt;margin-top:452.1pt;width:.8pt;height:.7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zwS+eQIAAPsEAAAOAAAAZHJzL2Uyb0RvYy54bWysVNuO0zAQfUfiHyy/t0mq9JKo6Wq3pQip wIqFD3Btp7FwbGO7TQvi3xk7bekCDwjRSo7HHh+fmTnj+d2xlejArRNaVTgbphhxRTUTalfhTx/X gxlGzhPFiNSKV/jEHb5bvHwx70zJR7rRknGLAES5sjMVbrw3ZZI42vCWuKE2XMFmrW1LPJh2lzBL OkBvZTJK00nSacuM1ZQ7B6urfhMvIn5dc+rf17XjHskKAzcfRxvHbRiTxZyUO0tMI+iZBvkHFi0R Ci69Qq2IJ2hvxW9QraBWO137IdVtoutaUB5jgGiy9JdonhpieIwFkuPMNU3u/8HSd4dHiwSr8Hg2 xkiRFor0AdJG1E5yNMmzkKLOuBI8n8yjDUE6s9H0s0NKLxvw4/fW6q7hhAGx6J88OxAMB0fRtnur GeCTvdcxW8fatgEQ8oCOsSina1H40SMKi1maTaByFHaK8Wgc6CSkvJw01vnXXLcoTCpsgXlEJoeN 873rxSUy11KwtZAyGna3XUqLDgTEsUzD/4zubt2kCs5Kh2M9Yr8CBOGOsBeoxmJ/K7JRnj6MisF6 MpsO8nU+HhTTdDZIs+KhmKR5ka/W3wPBLC8bwRhXG6H4RXhZ/neFPbdAL5koPdSdsxPjumXvboNM 4+9PQbbCQx9K0VZ4dnUiZSjqK8UgbFJ6ImQ/T57TjwWBHFy+MStRAqHqvXq2mp1AAVZDkaCa8GLA pNH2K0YddF+F3Zc9sRwj+UaBioosz0O7RiMfT0dg2Nud7e0OURSgKuwx6qdL37f43lixa+CmLIpC 6XtQXi2iMIIqe1bAOxjQYTGC82sQWvjWjl4/36zFDwAAAP//AwBQSwMEFAAGAAgAAAAhAMTvz5re AAAACwEAAA8AAABkcnMvZG93bnJldi54bWxMj8tOwzAQRfdI/IM1SOyoTZK+QpyqQgKWqC1i7cZD EhqPo9hpw98zXcFuHkd3zhSbyXXijENoPWl4nCkQSJW3LdUaPg4vDysQIRqypvOEGn4wwKa8vSlM bv2Fdnjex1pwCIXcaGhi7HMpQ9WgM2HmeyTeffnBmcjtUEs7mAuHu04mSi2kMy3xhcb0+NxgddqP ToM8LIZ4SrP0exdDsnXj69t79an1/d20fQIRcYp/MFz1WR1Kdjr6kWwQnYZ1tloyyoXKEhBMrOcq BXG8TuZLkGUh//9Q/gIAAP//AwBQSwECLQAUAAYACAAAACEAtoM4kv4AAADhAQAAEwAAAAAAAAAA AAAAAAAAAAAAW0NvbnRlbnRfVHlwZXNdLnhtbFBLAQItABQABgAIAAAAIQA4/SH/1gAAAJQBAAAL AAAAAAAAAAAAAAAAAC8BAABfcmVscy8ucmVsc1BLAQItABQABgAIAAAAIQCDzwS+eQIAAPsEAAAO AAAAAAAAAAAAAAAAAC4CAABkcnMvZTJvRG9jLnhtbFBLAQItABQABgAIAAAAIQDE78+a3gAAAAsB AAAPAAAAAAAAAAAAAAAAANMEAABkcnMvZG93bnJldi54bWxQSwUGAAAAAAQABADzAAAA3gUAAAAA " fillcolor="silver" stroked="f"/>
                    </w:pict>
                  </mc:Fallback>
                </mc:AlternateContent>
                <mc:AlternateContent>
                  <mc:Choice Requires="wps">
                    <w:drawing>
                      <wp:anchor distT="0" distB="0" distL="114300" distR="114300" simplePos="0" relativeHeight="251759616" behindDoc="0" locked="0" layoutInCell="1" allowOverlap="1">
                        <wp:simplePos x="0" y="0"/>
                        <wp:positionH relativeFrom="column">
                          <wp:posOffset>6024245</wp:posOffset>
                        </wp:positionH>
                        <wp:positionV relativeFrom="paragraph">
                          <wp:posOffset>5741670</wp:posOffset>
                        </wp:positionV>
                        <wp:extent cx="635" cy="635"/>
                        <wp:effectExtent l="13970" t="7620" r="13970" b="10795"/>
                        <wp:wrapNone/>
                        <wp:docPr id="586" name="Line 6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40"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52.1pt" to="474.4pt,452.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S8emEgIAACcEAAAOAAAAZHJzL2Uyb0RvYy54bWysU8GO2yAQvVfqPyDuie2s42atOKvKTnrZ tpF2+wEEcIyKAQGJE1X99w7ESZv2UlWVJTwDw5s3b4bl06mX6MitE1pVOJumGHFFNRNqX+Evr5vJ AiPniWJEasUrfOYOP63evlkOpuQz3WnJuEUAolw5mAp33psySRzteE/cVBuu4LDVticeXLtPmCUD oPcymaVpkQzaMmM15c7BbnM5xKuI37ac+s9t67hHssLAzcfVxnUX1mS1JOXeEtMJOtIg/8CiJ0JB 0htUQzxBByv+gOoFtdrp1k+p7hPdtoLyWANUk6W/VfPSEcNjLSCOMzeZ3P+DpZ+OW4sEq/B8UWCk SA9NehaKoyKP6gzGlRBUq60N9dGTejHPmn51SOm6I2rPI8vXs4GLWdAzubsSHGcgx274qBnEkIPX UapTa/sACSKgU+zI+dYRfvKIwmbxMMeIwn4wAjYpr9eMdf4D1z0KRoUlcI6w5Pjs/CX0GhKyKL0R UsZ2S4WGkClsOy0FCyfRsftdLS06EpiWOg3fmPQuzOqDYhGp44StR9sTIS82kJQq4EEVwGW0LuPw 7TF9XC/Wi3ySz4r1JE+bZvJ+U+eTYpO9mzcPTV032fdALcvLTjDGVWB3Hc0s/7vWj4/kMlS34bxp kNyjR12B7PUfScc2hs6Ft+TKnWbnrQ26Bg+mMQaPLyeM+69+jPr5vlc/AAAA//8DAFBLAwQUAAYA CAAAACEAJGlUgd4AAAALAQAADwAAAGRycy9kb3ducmV2LnhtbEyPQU/DMAyF70j8h8hI3FhCV7FR mk4IxAExDgzQrt5i2orGqZpsLf8ewwVu9vPT8/fK1eQ7daQhtoEtXM4MKOJ9cC3XFt5eHy6WoGJC dtgFJgtfFGFVnZ6UWLgw8gsdN6lWEsKxQAtNSn2hddw35DHOQk8st48weEyyDrV2A44S7judGXOl PbYsHxrs6a6h/efm4C3osd4uzNpg9v4U7rfzx+dsnTtrz8+m2xtQiab0Z4YffEGHSph24cAuqs7C db5ciFUGk2egxCGKlNn9KnPQVan/d6i+AQAA//8DAFBLAQItABQABgAIAAAAIQC2gziS/gAAAOEB AAATAAAAAAAAAAAAAAAAAAAAAABbQ29udGVudF9UeXBlc10ueG1sUEsBAi0AFAAGAAgAAAAhADj9 If/WAAAAlAEAAAsAAAAAAAAAAAAAAAAALwEAAF9yZWxzLy5yZWxzUEsBAi0AFAAGAAgAAAAhAEJL x6YSAgAAJwQAAA4AAAAAAAAAAAAAAAAALgIAAGRycy9lMm9Eb2MueG1sUEsBAi0AFAAGAAgAAAAh ACRpVIH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58592" behindDoc="0" locked="0" layoutInCell="1" allowOverlap="1">
                        <wp:simplePos x="0" y="0"/>
                        <wp:positionH relativeFrom="column">
                          <wp:posOffset>6024245</wp:posOffset>
                        </wp:positionH>
                        <wp:positionV relativeFrom="paragraph">
                          <wp:posOffset>5584825</wp:posOffset>
                        </wp:positionV>
                        <wp:extent cx="10160" cy="9525"/>
                        <wp:effectExtent l="4445" t="3175" r="4445" b="0"/>
                        <wp:wrapNone/>
                        <wp:docPr id="587" name="Rectangle 6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9" o:spid="_x0000_s1026" style="position:absolute;margin-left:474.35pt;margin-top:439.75pt;width:.8pt;height:.7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YjHQWegIAAPsEAAAOAAAAZHJzL2Uyb0RvYy54bWysVNuO0zAQfUfiHyy/t0lKeknUdLXbUoS0 wIqFD3Btp7FwbGO7TbuIf2fstKULPCBEKzm2Z3x8ZuaM5zeHVqI9t05oVeFsmGLEFdVMqG2FP39a D2YYOU8UI1IrXuEjd/hm8fLFvDMlH+lGS8YtAhDlys5UuPHelEniaMNb4obacAXGWtuWeFjabcIs 6QC9lckoTSdJpy0zVlPuHOyueiNeRPy65tR/qGvHPZIVBm4+jjaOmzAmizkpt5aYRtATDfIPLFoi FFx6gVoRT9DOit+gWkGtdrr2Q6rbRNe1oDzGANFk6S/RPDbE8BgLJMeZS5rc/4Ol7/cPFglW4fFs ipEiLRTpI6SNqK3kaPKqCCnqjCvB89E82BCkM/eafnFI6WUDfvzWWt01nDAglgX/5NmBsHBwFG26 d5oBPtl5HbN1qG0bACEP6BCLcrwUhR88orCZpdkEKkfBUoxH4whPyvNJY51/w3WLwqTCFphHZLK/ dz4wIeXZJTLXUrC1kDIu7HazlBbtCYhjmYb/Cd1du0kVnJUOx3rEfgcIwh3BFqjGYn8rslGe3o2K wXoymw7ydT4eFNN0Nkiz4q6YpHmRr9bfA8EsLxvBGFf3QvGz8LL87wp7aoFeMlF6qDtlJ8Z1zd5d B5nG35+CbIWHPpSirfDs4kTKUNTXikHYpPREyH6ePKcfsww5OH9jVqIEQtV79Ww0O4ICrIYiQTXh xYBJo+0TRh10X4Xd1x2xHCP5VoGKiizPQ7vGRT6ejmBhry2bawtRFKAq7DHqp0vft/jOWLFt4KYs ikLpW1BeLaIwgip7Vie9QofFCE6vQWjh63X0+vlmLX4AAAD//wMAUEsDBBQABgAIAAAAIQDZ1ydk 4AAAAAsBAAAPAAAAZHJzL2Rvd25yZXYueG1sTI9NT8MwDIbvSPyHyEjcWLJ1H21pOk1IwBFtQ5yz xrRljVM16Vb+PeYER9uPXj9vsZ1cJy44hNaThvlMgUCqvG2p1vB+fH5IQYRoyJrOE2r4xgDb8vam MLn1V9rj5RBrwSEUcqOhibHPpQxVg86Eme+R+PbpB2cij0Mt7WCuHO46uVBqLZ1piT80psenBqvz YXQa5HE9xHOyTL72MSx2bnx5fas+tL6/m3aPICJO8Q+GX31Wh5KdTn4kG0SnIVumG0Y1pJtsBYKJ bKUSECfepHMFsizk/w7lDwAAAP//AwBQSwECLQAUAAYACAAAACEAtoM4kv4AAADhAQAAEwAAAAAA AAAAAAAAAAAAAAAAW0NvbnRlbnRfVHlwZXNdLnhtbFBLAQItABQABgAIAAAAIQA4/SH/1gAAAJQB AAALAAAAAAAAAAAAAAAAAC8BAABfcmVscy8ucmVsc1BLAQItABQABgAIAAAAIQCYjHQWegIAAPsE AAAOAAAAAAAAAAAAAAAAAC4CAABkcnMvZTJvRG9jLnhtbFBLAQItABQABgAIAAAAIQDZ1ydk4AAA AAsBAAAPAAAAAAAAAAAAAAAAANQEAABkcnMvZG93bnJldi54bWxQSwUGAAAAAAQABADzAAAA4QUA AAAA " fillcolor="silver" stroked="f"/>
                    </w:pict>
                  </mc:Fallback>
                </mc:AlternateContent>
                <mc:AlternateContent>
                  <mc:Choice Requires="wps">
                    <w:drawing>
                      <wp:anchor distT="0" distB="0" distL="114300" distR="114300" simplePos="0" relativeHeight="251757568" behindDoc="0" locked="0" layoutInCell="1" allowOverlap="1">
                        <wp:simplePos x="0" y="0"/>
                        <wp:positionH relativeFrom="column">
                          <wp:posOffset>6024245</wp:posOffset>
                        </wp:positionH>
                        <wp:positionV relativeFrom="paragraph">
                          <wp:posOffset>5584825</wp:posOffset>
                        </wp:positionV>
                        <wp:extent cx="635" cy="635"/>
                        <wp:effectExtent l="13970" t="12700" r="13970" b="5715"/>
                        <wp:wrapNone/>
                        <wp:docPr id="588" name="Line 6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8" o:spid="_x0000_s1026" style="position:absolute;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39.75pt" to="474.4pt,439.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fEr9EgIAACcEAAAOAAAAZHJzL2Uyb0RvYy54bWysU8uu0zAQ3SPxD5b3bZK+6I2aXqGkZVOg 0r18gGs7jYVjW7bbtEL8O2MnLRQ2CKFIzsx45syZh1fPl1aiM7dOaFXgbJxixBXVTKhjgb+8bkdL jJwnihGpFS/wlTv8vH77ZtWZnE90oyXjFgGIcnlnCtx4b/IkcbThLXFjbbiCy1rblnhQ7TFhlnSA 3spkkqaLpNOWGaspdw6sVX+J1xG/rjn1n+vacY9kgYGbj6eN5yGcyXpF8qMlphF0oEH+gUVLhIKk d6iKeIJOVvwB1QpqtdO1H1PdJrquBeWxBqgmS3+r5qUhhsdaoDnO3Nvk/h8s/XTeWyRYgedLGJUi LQxpJxRHi+kydKczLgenUu1tqI9e1IvZafrVIaXLhqgjjyxfrwYCsxCRPIQExRnIceg+agY+5OR1 bNWltm2AhCagS5zI9T4RfvGIgnExnWNEwR6EgE3yW5ixzn/gukVBKLAEzhGWnHfO9643l5BF6a2Q Euwklwp1IVOQnZaChZuo2OOhlBadCWxLmYZvSPrgZvVJsYjUcMI2g+yJkL0MJKUKeFAFcBmkfh2+ PaVPm+VmORvNJovNaJZW1ej9tpyNFtvs3byaVmVZZd8DtWyWN4IxrgK722pms78b/fBI+qW6L+e9 B8kjeuwrkL39I+k4xjC5fgcOml33NvQ1TBS2MToPLyes+6969Pr5vtc/AAAA//8DAFBLAwQUAAYA CAAAACEAEjWhv98AAAALAQAADwAAAGRycy9kb3ducmV2LnhtbEyPPU/DMBCGdyT+g3VIbNQmlCYN cSoEYkCUgdKq6zU2SUR8jmK3Cf+egwXGe+/R+1GsJteJkx1C60nD9UyBsFR501KtYfv+dJWBCBHJ YOfJaviyAVbl+VmBufEjvdnTJtaCTSjkqKGJsc+lDFVjHYaZ7y3x78MPDiOfQy3NgCObu04mSi2k w5Y4ocHePjS2+twcnQY51vtUrRUmuxf/uL95fk3Wc6P15cV0fwci2in+wfBTn6tDyZ0O/kgmiE7D cp6ljGrI0uUtCCZY4TGHX2UBsizk/w3lNwAAAP//AwBQSwECLQAUAAYACAAAACEAtoM4kv4AAADh AQAAEwAAAAAAAAAAAAAAAAAAAAAAW0NvbnRlbnRfVHlwZXNdLnhtbFBLAQItABQABgAIAAAAIQA4 /SH/1gAAAJQBAAALAAAAAAAAAAAAAAAAAC8BAABfcmVscy8ucmVsc1BLAQItABQABgAIAAAAIQBt fEr9EgIAACcEAAAOAAAAAAAAAAAAAAAAAC4CAABkcnMvZTJvRG9jLnhtbFBLAQItABQABgAIAAAA IQASNaG/3wAAAAsBAAAPAAAAAAAAAAAAAAAAAGwEAABkcnMvZG93bnJldi54bWxQSwUGAAAAAAQA BADzAAAAeAUAAAAA " strokecolor="silver" strokeweight="0"/>
                    </w:pict>
                  </mc:Fallback>
                </mc:AlternateContent>
                <mc:AlternateContent>
                  <mc:Choice Requires="wps">
                    <w:drawing>
                      <wp:anchor distT="0" distB="0" distL="114300" distR="114300" simplePos="0" relativeHeight="251756544" behindDoc="0" locked="0" layoutInCell="1" allowOverlap="1">
                        <wp:simplePos x="0" y="0"/>
                        <wp:positionH relativeFrom="column">
                          <wp:posOffset>6024245</wp:posOffset>
                        </wp:positionH>
                        <wp:positionV relativeFrom="paragraph">
                          <wp:posOffset>5427980</wp:posOffset>
                        </wp:positionV>
                        <wp:extent cx="10160" cy="8890"/>
                        <wp:effectExtent l="4445" t="0" r="4445" b="1905"/>
                        <wp:wrapNone/>
                        <wp:docPr id="589" name="Rectangle 6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7" o:spid="_x0000_s1026" style="position:absolute;margin-left:474.35pt;margin-top:427.4pt;width:.8pt;height:.7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HuBQfgIAAPsEAAAOAAAAZHJzL2Uyb0RvYy54bWysVFFv0zAQfkfiP1h+75KUtE2ipdPWUYRU YGLwA1zbaSwc29hu0w7x3zk7bemAB4RoJcf2nT9/d/edr2/2nUQ7bp3QqsbZVYoRV1QzoTY1/vxp OSowcp4oRqRWvMYH7vDN/OWL695UfKxbLRm3CECUq3pT49Z7UyWJoy3viLvShiswNtp2xMPSbhJm SQ/onUzGaTpNem2ZsZpy52D3fjDiecRvGk79h6Zx3CNZY+Dm42jjuA5jMr8m1cYS0wp6pEH+gUVH hIJLz1D3xBO0teI3qE5Qq51u/BXVXaKbRlAeY4BosvSXaB5bYniMBZLjzDlN7v/B0ve7B4sEq/Gk KDFSpIMifYS0EbWRHE1fzUKKeuMq8Hw0DzYE6cxK0y8OKb1owY/fWqv7lhMGxLLgnzw7EBYOjqJ1 /04zwCdbr2O29o3tAiDkAe1jUQ7novC9RxQ2szSbQuUoWIqijBVLSHU6aazzb7juUJjU2ALziEx2 K+cDE1KdXCJzLQVbCinjwm7WC2nRjoA4Fmn4R/IQ4KWbVMFZ6XBsQBx2gCDcEWyBaiz2tzIb5+nd uBwtp8VslC/zyaicpcUozcq7cprmZX6//B4IZnnVCsa4WgnFT8LL8r8r7LEFBslE6aG+xuVkPImx P2PvLoNM4+9PQXbCQx9K0UGWz06kCkV9rRiETSpPhBzmyXP6McuQg9M3ZiVKIFR9UM9aswMowGoo ElQTXgyYtNo+YdRD99XYfd0SyzGSbxWoqMzyPLRrXOST2RgW9tKyvrQQRQGqxh6jYbrwQ4tvjRWb Fm7KYmKUvgXlNSIKI6hyYHXUK3RYjOD4GoQWvlxHr59v1vwHAAAA//8DAFBLAwQUAAYACAAAACEA W/hIl98AAAALAQAADwAAAGRycy9kb3ducmV2LnhtbEyPwU6DQBCG7ya+w2ZMvNlFoEiRpWlM1KNp azxv2RGw7Cxhlxbf3umpHmfmyz/fX65n24sTjr5zpOBxEYFAqp3pqFHwuX99yEH4oMno3hEq+EUP 6+r2ptSFcWfa4mkXGsEh5AutoA1hKKT0dYtW+4UbkPj27UarA49jI82ozxxuexlHUSat7og/tHrA lxbr426yCuQ+G8MxSZOfbfDxxk5v7x/1l1L3d/PmGUTAOVxhuOizOlTsdHATGS96Bas0f2JUQb5M uQMTq2WUgDhcNlkMsirl/w7VHwAAAP//AwBQSwECLQAUAAYACAAAACEAtoM4kv4AAADhAQAAEwAA AAAAAAAAAAAAAAAAAAAAW0NvbnRlbnRfVHlwZXNdLnhtbFBLAQItABQABgAIAAAAIQA4/SH/1gAA AJQBAAALAAAAAAAAAAAAAAAAAC8BAABfcmVscy8ucmVsc1BLAQItABQABgAIAAAAIQCvHuBQfgIA APsEAAAOAAAAAAAAAAAAAAAAAC4CAABkcnMvZTJvRG9jLnhtbFBLAQItABQABgAIAAAAIQBb+EiX 3wAAAAsBAAAPAAAAAAAAAAAAAAAAANgEAABkcnMvZG93bnJldi54bWxQSwUGAAAAAAQABADzAAAA 5AUAAAAA " fillcolor="silver" stroked="f"/>
                    </w:pict>
                  </mc:Fallback>
                </mc:AlternateContent>
                <mc:AlternateContent>
                  <mc:Choice Requires="wps">
                    <w:drawing>
                      <wp:anchor distT="0" distB="0" distL="114300" distR="114300" simplePos="0" relativeHeight="251755520" behindDoc="0" locked="0" layoutInCell="1" allowOverlap="1">
                        <wp:simplePos x="0" y="0"/>
                        <wp:positionH relativeFrom="column">
                          <wp:posOffset>6024245</wp:posOffset>
                        </wp:positionH>
                        <wp:positionV relativeFrom="paragraph">
                          <wp:posOffset>5427980</wp:posOffset>
                        </wp:positionV>
                        <wp:extent cx="635" cy="635"/>
                        <wp:effectExtent l="13970" t="8255" r="13970" b="10160"/>
                        <wp:wrapNone/>
                        <wp:docPr id="590" name="Line 6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6" o:spid="_x0000_s1026" style="position:absolute;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27.4pt" to="474.4pt,427.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l0RnEgIAACcEAAAOAAAAZHJzL2Uyb0RvYy54bWysU8GO2jAQvVfqP1i5QxIIKUSEVZVAL9sW abcfYGyHWHVsyzYEVPXfO3YCLe2lqqpIztieefPmzXj9dOkEOjNjuZJllE6TCDFJFOXyWEZfXneT ZYSsw5JioSQroyuz0dPm7Zt1rws2U60SlBkEINIWvS6j1jldxLElLeuwnSrNJFw2ynTYwdYcY2pw D+idiGdJkse9MlQbRZi1cFoPl9Em4DcNI+5z01jmkCgj4ObCasJ68Gu8WePiaLBuORlp4H9g0WEu IekdqsYOo5Phf0B1nBhlVeOmRHWxahpOWKgBqkmT36p5abFmoRYQx+q7TPb/wZJP571BnJbRYgX6 SNxBk565ZCif516dXtsCnCq5N74+cpEv+lmRrxZJVbVYHllg+XrVEJj6iPghxG+shhyH/qOi4INP TgWpLo3pPCSIgC6hI9d7R9jFIQKH+XwRIQLn3vDYuLiFaWPdB6Y65I0yEsA5wOLzs3WD683FZ5Fq x4WAc1wIiXqfydtWCU79TdiY46ESBp0xTEuV+G9M+uBm1EnSgNQyTLej7TAXgw0khfR4UAVwGa1h HL6tktV2uV1mk2yWbydZUteT97sqm+S79N2intdVVaffPbU0K1pOKZOe3W000+zvWj8+kmGo7sN5 1yB+RA+6AtnbP5AObfSdG2bgoOh1b7yuvqMwjcF5fDl+3H/dB6+f73vzAwAA//8DAFBLAwQUAAYA CAAAACEAv6XlYN8AAAALAQAADwAAAGRycy9kb3ducmV2LnhtbEyPQU/DMAyF70j8h8hI3FhCKawr TScE4oAYB7ahXb3GtBVNUjXZWv49Hhe42c9Pz98rlpPtxJGG0Hqn4XqmQJCrvGldrWG7eb7KQISI zmDnHWn4pgDL8vyswNz40b3TcR1rwSEu5KihibHPpQxVQxbDzPfk+PbpB4uR16GWZsCRw20nE6Xu pMXW8YcGe3psqPpaH6wGOda7uVopTD5e/dPu5uUtWaVG68uL6eEeRKQp/pnhhM/oUDLT3h+cCaLT sEizOVs1ZLcpd2AHKzzsf5UFyLKQ/zuUPwAAAP//AwBQSwECLQAUAAYACAAAACEAtoM4kv4AAADh AQAAEwAAAAAAAAAAAAAAAAAAAAAAW0NvbnRlbnRfVHlwZXNdLnhtbFBLAQItABQABgAIAAAAIQA4 /SH/1gAAAJQBAAALAAAAAAAAAAAAAAAAAC8BAABfcmVscy8ucmVsc1BLAQItABQABgAIAAAAIQCx l0RnEgIAACcEAAAOAAAAAAAAAAAAAAAAAC4CAABkcnMvZTJvRG9jLnhtbFBLAQItABQABgAIAAAA IQC/peVg3wAAAAsBAAAPAAAAAAAAAAAAAAAAAGwEAABkcnMvZG93bnJldi54bWxQSwUGAAAAAAQA BADzAAAAeAUAAAAA " strokecolor="silver" strokeweight="0"/>
                    </w:pict>
                  </mc:Fallback>
                </mc:AlternateContent>
                <mc:AlternateContent>
                  <mc:Choice Requires="wps">
                    <w:drawing>
                      <wp:anchor distT="0" distB="0" distL="114300" distR="114300" simplePos="0" relativeHeight="251754496" behindDoc="0" locked="0" layoutInCell="1" allowOverlap="1">
                        <wp:simplePos x="0" y="0"/>
                        <wp:positionH relativeFrom="column">
                          <wp:posOffset>6024245</wp:posOffset>
                        </wp:positionH>
                        <wp:positionV relativeFrom="paragraph">
                          <wp:posOffset>5271135</wp:posOffset>
                        </wp:positionV>
                        <wp:extent cx="10160" cy="8890"/>
                        <wp:effectExtent l="4445" t="3810" r="4445" b="0"/>
                        <wp:wrapNone/>
                        <wp:docPr id="591" name="Rectangle 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5" o:spid="_x0000_s1026" style="position:absolute;margin-left:474.35pt;margin-top:415.05pt;width:.8pt;height:.7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mCwu8fgIAAPsEAAAOAAAAZHJzL2Uyb0RvYy54bWysVNuO0zAQfUfiHyy/t0lKekm06Wq3SxHS AisWPsC1ncTCsY3tNt1F/Dtjpy0t8IAQreTYnvHxmZkzvrredxLtuHVCqwpn4xQjrqhmQjUV/vxp PVpg5DxRjEiteIWfuMPXy5cvrnpT8olutWTcIgBRruxNhVvvTZkkjra8I26sDVdgrLXtiIelbRJm SQ/onUwmaTpLem2ZsZpy52D3bjDiZcSva079h7p23CNZYeDm42jjuAljsrwiZWOJaQU90CD/wKIj QsGlJ6g74gnaWvEbVCeo1U7Xfkx1l+i6FpTHGCCaLP0lmseWGB5jgeQ4c0qT+3+w9P3uwSLBKjwt MowU6aBIHyFtRDWSo9mraUhRb1wJno/mwYYgnbnX9ItDSq9a8OM31uq+5YQBsSz4JxcHwsLBUbTp 32kG+GTrdczWvrZdAIQ8oH0sytOpKHzvEYXNLM1mUDkKlsWiiBVLSHk8aazzb7juUJhU2ALziEx2 984HJqQ8ukTmWgq2FlLGhW02K2nRjoA4Vmn4R/IQ4LmbVMFZ6XBsQBx2gCDcEWyBaiz2tyKb5Ont pBitZ4v5KF/n01ExTxejNCtui1maF/nd+nsgmOVlKxjj6l4ofhRelv9dYQ8tMEgmSg/1FS6mk2mM /YK9Ow8yjb8/BdkJD30oRQdZPjmRMhT1tWIQNik9EXKYJ5f0Y5YhB8dvzEqUQKj6oJ6NZk+gAKuh SFBNeDFg0mr7jFEP3Vdh93VLLMdIvlWgoiLL89CucZFP5xNY2HPL5txCFAWoCnuMhunKDy2+NVY0 LdyUxcQofQPKq0UURlDlwOqgV+iwGMHhNQgtfL6OXj/frOUPAAAA//8DAFBLAwQUAAYACAAAACEA 2Kiusd8AAAALAQAADwAAAGRycy9kb3ducmV2LnhtbEyPwW7CMAyG75N4h8hI3EZSCqx0TRFC2nac gGnn0HhtR+NUSQrd2y+ctqPtT7+/v9iOpmNXdL61JCGZC2BIldUt1RI+Ti+PGTAfFGnVWUIJP+hh W04eCpVre6MDXo+hZjGEfK4kNCH0Oee+atAoP7c9Urx9WWdUiKOruXbqFsNNxxdCrLlRLcUPjepx 32B1OQ5GAj+tXbiky/T7EPxiZ4bXt/fqU8rZdNw9Aws4hj8Y7vpRHcrodLYDac86CZtl9hRRCVkq EmCR2KxECux83yQr4GXB/3cofwEAAP//AwBQSwECLQAUAAYACAAAACEAtoM4kv4AAADhAQAAEwAA AAAAAAAAAAAAAAAAAAAAW0NvbnRlbnRfVHlwZXNdLnhtbFBLAQItABQABgAIAAAAIQA4/SH/1gAA AJQBAAALAAAAAAAAAAAAAAAAAC8BAABfcmVscy8ucmVsc1BLAQItABQABgAIAAAAIQAmCwu8fgIA APsEAAAOAAAAAAAAAAAAAAAAAC4CAABkcnMvZTJvRG9jLnhtbFBLAQItABQABgAIAAAAIQDYqK6x 3wAAAAsBAAAPAAAAAAAAAAAAAAAAANgEAABkcnMvZG93bnJldi54bWxQSwUGAAAAAAQABADzAAAA 5AUAAAAA " fillcolor="silver" stroked="f"/>
                    </w:pict>
                  </mc:Fallback>
                </mc:AlternateContent>
                <mc:AlternateContent>
                  <mc:Choice Requires="wps">
                    <w:drawing>
                      <wp:anchor distT="0" distB="0" distL="114300" distR="114300" simplePos="0" relativeHeight="251753472" behindDoc="0" locked="0" layoutInCell="1" allowOverlap="1">
                        <wp:simplePos x="0" y="0"/>
                        <wp:positionH relativeFrom="column">
                          <wp:posOffset>6024245</wp:posOffset>
                        </wp:positionH>
                        <wp:positionV relativeFrom="paragraph">
                          <wp:posOffset>5271135</wp:posOffset>
                        </wp:positionV>
                        <wp:extent cx="635" cy="635"/>
                        <wp:effectExtent l="13970" t="13335" r="13970" b="5080"/>
                        <wp:wrapNone/>
                        <wp:docPr id="592" name="Line 6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4" o:spid="_x0000_s1026" style="position:absolute;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15.05pt" to="474.4pt,415.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cQOOrEgIAACcEAAAOAAAAZHJzL2Uyb0RvYy54bWysU82O2jAQvlfqO1i+QxIIFCLCqkqgl22L tNsHMLZDrDq2ZRsCqvruHZtAS3upqiqSMzOe+eabH6+ezp1EJ26d0KrE2TjFiCuqmVCHEn953Y4W GDlPFCNSK17iC3f4af32zao3BZ/oVkvGLQIQ5YrelLj13hRJ4mjLO+LG2nAFl422HfGg2kPCLOkB vZPJJE3nSa8tM1ZT7hxY6+slXkf8puHUf24axz2SJQZuPp42nvtwJusVKQ6WmFbQgQb5BxYdEQqS 3qFq4gk6WvEHVCeo1U43fkx1l+imEZTHGqCaLP2tmpeWGB5rgeY4c2+T+3+w9NNpZ5FgJZ4tJxgp 0sGQnoXiaD7NQ3d64wpwqtTOhvroWb2YZ02/OqR01RJ14JHl68VAYBYikoeQoDgDOfb9R83Ahxy9 jq06N7YLkNAEdI4Tudwnws8eUTDOpzOMKNiDELBJcQsz1vkPXHcoCCWWwDnCktOz81fXm0vIovRW SAl2UkiF+pApyE5LwcJNVOxhX0mLTgS2pUrDNyR9cLP6qFhEajlhm0H2RMirDCSlCnhQBXAZpOs6 fFumy81is8hH+WS+GeVpXY/eb6t8NN9m72b1tK6qOvseqGV50QrGuArsbquZ5X83+uGRXJfqvpz3 HiSP6LGvQPb2j6TjGMPkrjuw1+yys6GvYaKwjdF5eDlh3X/Vo9fP973+AQAA//8DAFBLAwQUAAYA CAAAACEAkahjCd8AAAALAQAADwAAAGRycy9kb3ducmV2LnhtbEyPPU/DMBCGdyT+g3VIbNRuWtGQ xqkQiAHRDi2grtf4mkTEdhS7Tfj3HCx0vPcevR/5arStOFMfGu80TCcKBLnSm8ZVGj7eX+5SECGi M9h6Rxq+KcCquL7KMTN+cFs672Il2MSFDDXUMXaZlKGsyWKY+I4c/46+txj57CtpehzY3LYyUepe WmwcJ9TY0VNN5dfuZDXIodov1Fph8vnmn/ez102ynhutb2/GxyWISGP8h+G3PleHgjsd/MmZIFoN D/N0waiGdKamIJhghccc/pQEZJHLyw3FDwAAAP//AwBQSwECLQAUAAYACAAAACEAtoM4kv4AAADh AQAAEwAAAAAAAAAAAAAAAAAAAAAAW0NvbnRlbnRfVHlwZXNdLnhtbFBLAQItABQABgAIAAAAIQA4 /SH/1gAAAJQBAAALAAAAAAAAAAAAAAAAAC8BAABfcmVscy8ucmVsc1BLAQItABQABgAIAAAAIQAc QOOrEgIAACcEAAAOAAAAAAAAAAAAAAAAAC4CAABkcnMvZTJvRG9jLnhtbFBLAQItABQABgAIAAAA IQCRqGMJ3wAAAAsBAAAPAAAAAAAAAAAAAAAAAGwEAABkcnMvZG93bnJldi54bWxQSwUGAAAAAAQA BADzAAAAeAUAAAAA " strokecolor="silver" strokeweight="0"/>
                    </w:pict>
                  </mc:Fallback>
                </mc:AlternateContent>
                <mc:AlternateContent>
                  <mc:Choice Requires="wps">
                    <w:drawing>
                      <wp:anchor distT="0" distB="0" distL="114300" distR="114300" simplePos="0" relativeHeight="251752448" behindDoc="0" locked="0" layoutInCell="1" allowOverlap="1">
                        <wp:simplePos x="0" y="0"/>
                        <wp:positionH relativeFrom="column">
                          <wp:posOffset>6024245</wp:posOffset>
                        </wp:positionH>
                        <wp:positionV relativeFrom="paragraph">
                          <wp:posOffset>5114290</wp:posOffset>
                        </wp:positionV>
                        <wp:extent cx="10160" cy="8890"/>
                        <wp:effectExtent l="4445" t="0" r="4445" b="1270"/>
                        <wp:wrapNone/>
                        <wp:docPr id="593" name="Rectangle 6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3" o:spid="_x0000_s1026" style="position:absolute;margin-left:474.35pt;margin-top:402.7pt;width:.8pt;height:.7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U13lfgIAAPsEAAAOAAAAZHJzL2Uyb0RvYy54bWysVNuO0zAQfUfiHyy/d5N000uiTVe7XYqQ Flix8AGu7SQWjm1st2lB/Dtjpy0t8IAQreTYnvHxmZkzvrnddRJtuXVCqwpnVylGXFHNhGoq/Onj ajTHyHmiGJFa8QrvucO3i5cvbnpT8rFutWTcIgBRruxNhVvvTZkkjra8I+5KG67AWGvbEQ9L2yTM kh7QO5mM03Sa9NoyYzXlzsHuw2DEi4hf15z693XtuEeywsDNx9HGcR3GZHFDysYS0wp6oEH+gUVH hIJLT1APxBO0seI3qE5Qq52u/RXVXaLrWlAeY4BosvSXaJ5bYniMBZLjzClN7v/B0nfbJ4sEq/Ck uMZIkQ6K9AHSRlQjOZpeX4cU9caV4PlsnmwI0plHTT87pPSyBT9+Z63uW04YEMuCf3JxICwcHEXr /q1mgE82Xsds7WrbBUDIA9rFouxPReE7jyhsZmk2hcpRsMznRaxYQsrjSWOdf811h8KkwhaYR2Sy fXQ+MCHl0SUy11KwlZAyLmyzXkqLtgTEsUzDP5KHAM/dpArOSodjA+KwAwThjmALVGOxvxXZOE/v x8VoNZ3PRvkqn4yKWTofpVlxX0zTvMgfVt8DwSwvW8EYV49C8aPwsvzvCntogUEyUXqor3AxGU9i 7Bfs3XmQafz9KchOeOhDKTrI8smJlKGorxSDsEnpiZDDPLmkH7MMOTh+Y1aiBELVB/WsNduDAqyG IkE14cWASavtV4x66L4Kuy8bYjlG8o0CFRVZnod2jYt8MhvDwp5b1ucWoihAVdhjNEyXfmjxjbGi aeGmLCZG6TtQXi2iMIIqB1YHvUKHxQgOr0Fo4fN19Pr5Zi1+AAAA//8DAFBLAwQUAAYACAAAACEA ZUHf998AAAALAQAADwAAAGRycy9kb3ducmV2LnhtbEyPwU7DMAyG70i8Q2Qkbixh7UrXNZ0mJOCI tiHOWeO1ZY1TJelW3p7sNI62P/3+/nI9mZ6d0fnOkoTnmQCGVFvdUSPha//2lAPzQZFWvSWU8Ise 1tX9XakKbS+0xfMuNCyGkC+UhDaEoeDc1y0a5Wd2QIq3o3VGhTi6hmunLjHc9HwuRMaN6ih+aNWA ry3Wp91oJPB95sIpSZOfbfDzjRnfPz7rbykfH6bNCljAKdxguOpHdaii08GOpD3rJSzT/CWiEnKx SIFFYrkQCbDDdZPlwKuS/+9Q/QEAAP//AwBQSwECLQAUAAYACAAAACEAtoM4kv4AAADhAQAAEwAA AAAAAAAAAAAAAAAAAAAAW0NvbnRlbnRfVHlwZXNdLnhtbFBLAQItABQABgAIAAAAIQA4/SH/1gAA AJQBAAALAAAAAAAAAAAAAAAAAC8BAABfcmVscy8ucmVsc1BLAQItABQABgAIAAAAIQBnU13lfgIA APsEAAAOAAAAAAAAAAAAAAAAAC4CAABkcnMvZTJvRG9jLnhtbFBLAQItABQABgAIAAAAIQBlQd/3 3wAAAAsBAAAPAAAAAAAAAAAAAAAAANgEAABkcnMvZG93bnJldi54bWxQSwUGAAAAAAQABADzAAAA 5AUAAAAA " fillcolor="silver" stroked="f"/>
                    </w:pict>
                  </mc:Fallback>
                </mc:AlternateContent>
                <mc:AlternateContent>
                  <mc:Choice Requires="wps">
                    <w:drawing>
                      <wp:anchor distT="0" distB="0" distL="114300" distR="114300" simplePos="0" relativeHeight="251751424" behindDoc="0" locked="0" layoutInCell="1" allowOverlap="1">
                        <wp:simplePos x="0" y="0"/>
                        <wp:positionH relativeFrom="column">
                          <wp:posOffset>6024245</wp:posOffset>
                        </wp:positionH>
                        <wp:positionV relativeFrom="paragraph">
                          <wp:posOffset>5114290</wp:posOffset>
                        </wp:positionV>
                        <wp:extent cx="635" cy="635"/>
                        <wp:effectExtent l="13970" t="8890" r="13970" b="9525"/>
                        <wp:wrapNone/>
                        <wp:docPr id="594" name="Line 6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2"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402.7pt" to="474.4pt,402.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qPnolEgIAACcEAAAOAAAAZHJzL2Uyb0RvYy54bWysU82O2jAQvlfqO1i+QxIIFCLCqkqgl22L tNsHMLZDrDq2ZRsCqvruHZtAS3upqiqSMzOe+eabH6+ezp1EJ26d0KrE2TjFiCuqmVCHEn953Y4W GDlPFCNSK17iC3f4af32zao3BZ/oVkvGLQIQ5YrelLj13hRJ4mjLO+LG2nAFl422HfGg2kPCLOkB vZPJJE3nSa8tM1ZT7hxY6+slXkf8puHUf24axz2SJQZuPp42nvtwJusVKQ6WmFbQgQb5BxYdEQqS 3qFq4gk6WvEHVCeo1U43fkx1l+imEZTHGqCaLP2tmpeWGB5rgeY4c2+T+3+w9NNpZ5FgJZ4tc4wU 6WBIz0JxNJ9OQnd64wpwqtTOhvroWb2YZ02/OqR01RJ14JHl68VAYBYikoeQoDgDOfb9R83Ahxy9 jq06N7YLkNAEdI4Tudwnws8eUTDOpzOMKNiDELBJcQsz1vkPXHcoCCWWwDnCktOz81fXm0vIovRW SAl2UkiF+pApyE5LwcJNVOxhX0mLTgS2pUrDNyR9cLP6qFhEajlhm0H2RMirDCSlCnhQBXAZpOs6 fFumy81is8hH+WS+GeVpXY/eb6t8NN9m72b1tK6qOvseqGV50QrGuArsbquZ5X83+uGRXJfqvpz3 HiSP6LGvQPb2j6TjGMPkrjuw1+yys6GvYaKwjdF5eDlh3X/Vo9fP973+AQAA//8DAFBLAwQUAAYA CAAAACEA1CzJ+N4AAAALAQAADwAAAGRycy9kb3ducmV2LnhtbEyPPU/DMBCGdyT+g3VIbNQmpDSE OBUCMSDKQFvU9RofSURsR7HbhH/PlQXGe+/R+1EsJ9uJIw2h9U7D9UyBIFd507paw3bzfJWBCBGd wc470vBNAZbl+VmBufGje6fjOtaCTVzIUUMTY59LGaqGLIaZ78nx79MPFiOfQy3NgCOb204mSt1K i63jhAZ7emyo+lofrAY51ruFWilMPl790+7m5S1ZpUbry4vp4R5EpCn+wXCqz9Wh5E57f3AmiE7D XZotGNWQqXkKgglWeMz+V5mDLAv5f0P5AwAA//8DAFBLAQItABQABgAIAAAAIQC2gziS/gAAAOEB AAATAAAAAAAAAAAAAAAAAAAAAABbQ29udGVudF9UeXBlc10ueG1sUEsBAi0AFAAGAAgAAAAhADj9 If/WAAAAlAEAAAsAAAAAAAAAAAAAAAAALwEAAF9yZWxzLy5yZWxzUEsBAi0AFAAGAAgAAAAhAKo+ eiUSAgAAJwQAAA4AAAAAAAAAAAAAAAAALgIAAGRycy9lMm9Eb2MueG1sUEsBAi0AFAAGAAgAAAAh ANQsyfj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50400" behindDoc="0" locked="0" layoutInCell="1" allowOverlap="1">
                        <wp:simplePos x="0" y="0"/>
                        <wp:positionH relativeFrom="column">
                          <wp:posOffset>6024245</wp:posOffset>
                        </wp:positionH>
                        <wp:positionV relativeFrom="paragraph">
                          <wp:posOffset>4956810</wp:posOffset>
                        </wp:positionV>
                        <wp:extent cx="10160" cy="9525"/>
                        <wp:effectExtent l="4445" t="3810" r="4445" b="0"/>
                        <wp:wrapNone/>
                        <wp:docPr id="595" name="Rectangle 6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1" o:spid="_x0000_s1026" style="position:absolute;margin-left:474.35pt;margin-top:390.3pt;width:.8pt;height:.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4pj7eQIAAPsEAAAOAAAAZHJzL2Uyb0RvYy54bWysVNuO0zAQfUfiHyy/t0lKeknUdLXbUoS0 wIqFD3Btp7FwbGO7TbuIf2fstKULPCBEKzkee3x8ZuaM5zeHVqI9t05oVeFsmGLEFdVMqG2FP39a D2YYOU8UI1IrXuEjd/hm8fLFvDMlH+lGS8YtAhDlys5UuPHelEniaMNb4obacAWbtbYt8WDabcIs 6QC9lckoTSdJpy0zVlPuHKyu+k28iPh1zan/UNeOeyQrDNx8HG0cN2FMFnNSbi0xjaAnGuQfWLRE KLj0ArUinqCdFb9BtYJa7XTth1S3ia5rQXmMAaLJ0l+ieWyI4TEWSI4zlzS5/wdL3+8fLBKswuNi jJEiLRTpI6SNqK3kaPIqCynqjCvB89E82BCkM/eafnFI6WUDfvzWWt01nDAgFv2TZweC4eAo2nTv NAN8svM6ZutQ2zYAQh7QIRbleCkKP3hEYTFLswlUjsJOMR6NA52ElOeTxjr/husWhUmFLTCPyGR/ 73zvenaJzLUUbC2kjIbdbpbSoj0BcSzT8D+hu2s3qYKz0uFYj9ivAEG4I+wFqrHY34pslKd3o2Kw nsymg3ydjwfFNJ0N0qy4KyZpXuSr9fdAMMvLRjDG1b1Q/Cy8LP+7wp5aoJdMlB7qTtmJcV2zd9dB pvH3pyBb4aEPpWgrPLs4kTIU9bViEDYpPRGynyfP6ceCQA7O35iVKIFQ9V49G82OoACroUhQTXgx YNJo+4RRB91XYfd1RyzHSL5VoKIiy/PQrtHIx9MRGPZ6Z3O9QxQFqAp7jPrp0vctvjNWbBu4KYui UPoWlFeLKIygyp4V8A4GdFiM4PQahBa+tqPXzzdr8QMAAP//AwBQSwMEFAAGAAgAAAAhACIrJQvf AAAACwEAAA8AAABkcnMvZG93bnJldi54bWxMj8FOwzAMhu9IvENkJG4sWTu6rjSdJiTYEW1DnLPG tGWNUyXpVt5+2QmOtj/9/v5yPZmendH5zpKE+UwAQ6qt7qiR8Hl4e8qB+aBIq94SSvhFD+vq/q5U hbYX2uF5HxoWQ8gXSkIbwlBw7usWjfIzOyDF27d1RoU4uoZrpy4x3PQ8ESLjRnUUP7RqwNcW69N+ NBL4IXPhlC7Sn13wycaM79uP+kvKx4dp8wIs4BT+YLjpR3WootPRjqQ96yWsFvkyohKWuciARWL1 LFJgx9smmQOvSv6/Q3UFAAD//wMAUEsBAi0AFAAGAAgAAAAhALaDOJL+AAAA4QEAABMAAAAAAAAA AAAAAAAAAAAAAFtDb250ZW50X1R5cGVzXS54bWxQSwECLQAUAAYACAAAACEAOP0h/9YAAACUAQAA CwAAAAAAAAAAAAAAAAAvAQAAX3JlbHMvLnJlbHNQSwECLQAUAAYACAAAACEAT+KY+3kCAAD7BAAA DgAAAAAAAAAAAAAAAAAuAgAAZHJzL2Uyb0RvYy54bWxQSwECLQAUAAYACAAAACEAIislC98AAAAL AQAADwAAAAAAAAAAAAAAAADTBAAAZHJzL2Rvd25yZXYueG1sUEsFBgAAAAAEAAQA8wAAAN8FAAAA AA== " fillcolor="silver" stroked="f"/>
                    </w:pict>
                  </mc:Fallback>
                </mc:AlternateContent>
                <mc:AlternateContent>
                  <mc:Choice Requires="wps">
                    <w:drawing>
                      <wp:anchor distT="0" distB="0" distL="114300" distR="114300" simplePos="0" relativeHeight="251749376" behindDoc="0" locked="0" layoutInCell="1" allowOverlap="1">
                        <wp:simplePos x="0" y="0"/>
                        <wp:positionH relativeFrom="column">
                          <wp:posOffset>6024245</wp:posOffset>
                        </wp:positionH>
                        <wp:positionV relativeFrom="paragraph">
                          <wp:posOffset>4956810</wp:posOffset>
                        </wp:positionV>
                        <wp:extent cx="635" cy="635"/>
                        <wp:effectExtent l="13970" t="13335" r="13970" b="5080"/>
                        <wp:wrapNone/>
                        <wp:docPr id="596" name="Line 6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30"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90.3pt" to="474.4pt,390.3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6d3pEgIAACcEAAAOAAAAZHJzL2Uyb0RvYy54bWysU8GO2jAQvVfqP1i+QxIIFCLCqkqgl22L tNsPMLZDrDq2ZRsCqvrvHZtAS3upqiqSM2OP37x5M149nTuJTtw6oVWJs3GKEVdUM6EOJf7yuh0t MHKeKEakVrzEF+7w0/rtm1VvCj7RrZaMWwQgyhW9KXHrvSmSxNGWd8SNteEKDhttO+LBtYeEWdID eieTSZrOk15bZqym3DnYra+HeB3xm4ZT/7lpHPdIlhi4+bjauO7DmqxXpDhYYlpBBxrkH1h0RChI eoeqiSfoaMUfUJ2gVjvd+DHVXaKbRlAea4BqsvS3al5aYnisBcRx5i6T+3+w9NNpZ5FgJZ4t5xgp 0kGTnoXiaD6N6vTGFRBUqZ0N9dGzejHPmn51SOmqJerAI8vXi4GLWdAzebgSHGcgx77/qBnEkKPX UapzY7sACSKgc+zI5d4RfvaIwuZ8OsOIwn4wAjYpbteMdf4D1x0KRoklcI6w5PTs/DX0FhKyKL0V UsZ2S4X6kClsOy0FCyfRsYd9JS06EZiWKg3fkPQhzOqjYhGp5YRtBtsTIa82kJQq4EEVwGWwruPw bZkuN4vNIh/lk/lmlKd1PXq/rfLRfJu9m9XTuqrq7HugluVFKxjjKrC7jWaW/13rh0dyHar7cN41 SB7Ro65A9vaPpGMbQ+fCW3LFXrPLzgZdgwfTGIOHlxPG/Vc/Rv183+sfAAAA//8DAFBLAwQUAAYA CAAAACEA+eajy94AAAALAQAADwAAAGRycy9kb3ducmV2LnhtbEyPPU/DMBCGd6T+B+sqsVGbUDUh xKkQiAFRhragrtf4SCJiO4rdJvx7DhYY771H70exnmwnzjSE1jsN1wsFglzlTetqDW/7p6sMRIjo DHbekYYvCrAuZxcF5saPbkvnXawFm7iQo4Ymxj6XMlQNWQwL35Pj34cfLEY+h1qaAUc2t51MlFpJ i63jhAZ7emio+tydrAY51odUbRQm7y/+8XDz/Jpslkbry/l0fwci0hT/YPipz9Wh5E5Hf3ImiE7D 7TJLGdWQZmoFgglWeMzxV0lBloX8v6H8BgAA//8DAFBLAQItABQABgAIAAAAIQC2gziS/gAAAOEB AAATAAAAAAAAAAAAAAAAAAAAAABbQ29udGVudF9UeXBlc10ueG1sUEsBAi0AFAAGAAgAAAAhADj9 If/WAAAAlAEAAAsAAAAAAAAAAAAAAAAALwEAAF9yZWxzLy5yZWxzUEsBAi0AFAAGAAgAAAAhAAfp 3ekSAgAAJwQAAA4AAAAAAAAAAAAAAAAALgIAAGRycy9lMm9Eb2MueG1sUEsBAi0AFAAGAAgAAAAh APnmo8v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48352" behindDoc="0" locked="0" layoutInCell="1" allowOverlap="1">
                        <wp:simplePos x="0" y="0"/>
                        <wp:positionH relativeFrom="column">
                          <wp:posOffset>6024245</wp:posOffset>
                        </wp:positionH>
                        <wp:positionV relativeFrom="paragraph">
                          <wp:posOffset>4799965</wp:posOffset>
                        </wp:positionV>
                        <wp:extent cx="10160" cy="9525"/>
                        <wp:effectExtent l="4445" t="0" r="4445" b="635"/>
                        <wp:wrapNone/>
                        <wp:docPr id="597" name="Rectangle 6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9" o:spid="_x0000_s1026" style="position:absolute;margin-left:474.35pt;margin-top:377.95pt;width:.8pt;height:.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mg6PZeQIAAPsEAAAOAAAAZHJzL2Uyb0RvYy54bWysVG2PEyEQ/m7ifyB8b/cl25fddHu5a60x OfXi6Q+gwHaJLCDQbk/jf3dg29pTPxhjm7DADA/PzDzD4ubYSXTg1gmtapyNU4y4opoJtavxp4+b 0Rwj54liRGrFa/zEHb5Zvnyx6E3Fc91qybhFAKJc1Zsat96bKkkcbXlH3FgbrsDYaNsRD0u7S5gl PaB3MsnTdJr02jJjNeXOwe56MOJlxG8aTv37pnHcI1lj4ObjaOO4DWOyXJBqZ4lpBT3RIP/AoiNC waUXqDXxBO2t+A2qE9Rqpxs/prpLdNMIymMMEE2W/hLNY0sMj7FAcpy5pMn9P1j67vBgkWA1npQz jBTpoEgfIG1E7SRH07wMKeqNq8Dz0TzYEKQz95p+dkjpVQt+/NZa3becMCCWBf/k2YGwcHAUbfu3 mgE+2Xsds3VsbBcAIQ/oGIvydCkKP3pEYTNLsylUjoKlnOSTCE+q80ljnX/NdYfCpMYWmEdkcrh3 PjAh1dklMtdSsI2QMi7sbruSFh0IiGOVhv8J3V27SRWclQ7HBsRhBwjCHcEWqMZifyuzvEjv8nK0 mc5no2JTTEblLJ2P0qy8K6dpURbrzfdAMCuqVjDG1b1Q/Cy8rPi7wp5aYJBMlB7qT9mJcV2zd9dB pvH3pyA74aEPpehqPL84kSoU9ZViEDapPBFymCfP6ccsQw7O35iVKIFQ9UE9W82eQAFWQ5GgmvBi wKTV9itGPXRfjd2XPbEcI/lGgYrKrChCu8ZFMZnlsLDXlu21hSgKUDX2GA3TlR9afG+s2LVwUxZF ofQtKK8RURhBlQOrk16hw2IEp9cgtPD1Onr9fLOWPwAAAP//AwBQSwMEFAAGAAgAAAAhABtIXz7f AAAACwEAAA8AAABkcnMvZG93bnJldi54bWxMj8FuwjAMhu+T9g6RJ3EbKbSltGuKENK24wRMO4fG awuNUyUpdG+/cNqOtj/9/v5yM+meXdG6zpCAxTwChlQb1VEj4PP4+rwG5rwkJXtDKOAHHWyqx4dS FsrcaI/Xg29YCCFXSAGt90PBuatb1NLNzYAUbt/GaunDaBuurLyFcN3zZRStuJYdhQ+tHHDXYn05 jFoAP66sv8RJfN57t9zq8e39o/4SYvY0bV+AeZz8Hwx3/aAOVXA6mZGUY72APFlnARWQpWkOLBB5 GsXATvdNlgCvSv6/Q/ULAAD//wMAUEsBAi0AFAAGAAgAAAAhALaDOJL+AAAA4QEAABMAAAAAAAAA AAAAAAAAAAAAAFtDb250ZW50X1R5cGVzXS54bWxQSwECLQAUAAYACAAAACEAOP0h/9YAAACUAQAA CwAAAAAAAAAAAAAAAAAvAQAAX3JlbHMvLnJlbHNQSwECLQAUAAYACAAAACEAJoOj2XkCAAD7BAAA DgAAAAAAAAAAAAAAAAAuAgAAZHJzL2Uyb0RvYy54bWxQSwECLQAUAAYACAAAACEAG0hfPt8AAAAL AQAADwAAAAAAAAAAAAAAAADTBAAAZHJzL2Rvd25yZXYueG1sUEsFBgAAAAAEAAQA8wAAAN8FAAAA AA== " fillcolor="silver" stroked="f"/>
                    </w:pict>
                  </mc:Fallback>
                </mc:AlternateContent>
                <mc:AlternateContent>
                  <mc:Choice Requires="wps">
                    <w:drawing>
                      <wp:anchor distT="0" distB="0" distL="114300" distR="114300" simplePos="0" relativeHeight="251747328" behindDoc="0" locked="0" layoutInCell="1" allowOverlap="1">
                        <wp:simplePos x="0" y="0"/>
                        <wp:positionH relativeFrom="column">
                          <wp:posOffset>6024245</wp:posOffset>
                        </wp:positionH>
                        <wp:positionV relativeFrom="paragraph">
                          <wp:posOffset>4799965</wp:posOffset>
                        </wp:positionV>
                        <wp:extent cx="635" cy="635"/>
                        <wp:effectExtent l="13970" t="8890" r="13970" b="9525"/>
                        <wp:wrapNone/>
                        <wp:docPr id="598" name="Line 6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8"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77.95pt" to="474.4pt,37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wB+pEgIAACcEAAAOAAAAZHJzL2Uyb0RvYy54bWysU82O2jAQvlfqO1i+QxIWKESEVZVAL7RF 2u0DGNshVh3bsg0BVX33jp1AS3upqiqSMzOe+eabH6+eL61EZ26d0KrA2TjFiCuqmVDHAn953Y4W GDlPFCNSK17gK3f4ef32zaozOZ/oRkvGLQIQ5fLOFLjx3uRJ4mjDW+LG2nAFl7W2LfGg2mPCLOkA vZXJJE3nSactM1ZT7hxYq/4SryN+XXPqP9e14x7JAgM3H08bz0M4k/WK5EdLTCPoQIP8A4uWCAVJ 71AV8QSdrPgDqhXUaqdrP6a6TXRdC8pjDVBNlv5WzUtDDI+1QHOcubfJ/T9Y+um8t0iwAs+WMCpF WhjSTiiO5pNF6E5nXA5OpdrbUB+9qBez0/SrQ0qXDVFHHlm+Xg0EZiEieQgJijOQ49B91Ax8yMnr 2KpLbdsACU1AlziR630i/OIRBeP8aYYRBXsQAjbJb2HGOv+B6xYFocASOEdYct4537veXEIWpbdC SrCTXCrUhUxBdloKFm6iYo+HUlp0JrAtZRq+IemDm9UnxSJSwwnbDLInQvYykJQq4EEVwGWQ+nX4 tkyXm8VmMR1NJ/PNaJpW1ej9tpyO5tvs3ax6qsqyyr4Hatk0bwRjXAV2t9XMpn83+uGR9Et1X857 D5JH9NhXIHv7R9JxjGFy/Q4cNLvubehrmChsY3QeXk5Y91/16PXzfa9/AAAA//8DAFBLAwQUAAYA CAAAACEA+87EJd8AAAALAQAADwAAAGRycy9kb3ducmV2LnhtbEyPPU/DMBCGdyT+g3VIbNQmtE2b xqkQiAFRBgpVVzc+koj4HMVuE/4914mO996j9yNfj64VJ+xD40nD/USBQCq9bajS8PX5crcAEaIh a1pPqOEXA6yL66vcZNYP9IGnbawEm1DIjIY6xi6TMpQ1OhMmvkPi37fvnYl89pW0vRnY3LUyUWou nWmIE2rT4VON5c/26DTIodqnaqNMsnvzz/uH1/dkM7Va396MjysQEcf4D8O5PleHgjsd/JFsEK2G 5XSRMqohnc2WIJhghccczspcgSxyebmh+AMAAP//AwBQSwECLQAUAAYACAAAACEAtoM4kv4AAADh AQAAEwAAAAAAAAAAAAAAAAAAAAAAW0NvbnRlbnRfVHlwZXNdLnhtbFBLAQItABQABgAIAAAAIQA4 /SH/1gAAAJQBAAALAAAAAAAAAAAAAAAAAC8BAABfcmVscy8ucmVsc1BLAQItABQABgAIAAAAIQAs wB+pEgIAACcEAAAOAAAAAAAAAAAAAAAAAC4CAABkcnMvZTJvRG9jLnhtbFBLAQItABQABgAIAAAA IQD7zsQl3wAAAAsBAAAPAAAAAAAAAAAAAAAAAGwEAABkcnMvZG93bnJldi54bWxQSwUGAAAAAAQA BADzAAAAeAUAAAAA " strokecolor="silver" strokeweight="0"/>
                    </w:pict>
                  </mc:Fallback>
                </mc:AlternateContent>
                <mc:AlternateContent>
                  <mc:Choice Requires="wps">
                    <w:drawing>
                      <wp:anchor distT="0" distB="0" distL="114300" distR="114300" simplePos="0" relativeHeight="251746304" behindDoc="0" locked="0" layoutInCell="1" allowOverlap="1">
                        <wp:simplePos x="0" y="0"/>
                        <wp:positionH relativeFrom="column">
                          <wp:posOffset>6024245</wp:posOffset>
                        </wp:positionH>
                        <wp:positionV relativeFrom="paragraph">
                          <wp:posOffset>4643120</wp:posOffset>
                        </wp:positionV>
                        <wp:extent cx="10160" cy="9525"/>
                        <wp:effectExtent l="4445" t="4445" r="4445" b="0"/>
                        <wp:wrapNone/>
                        <wp:docPr id="599" name="Rectangle 6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7" o:spid="_x0000_s1026" style="position:absolute;margin-left:474.35pt;margin-top:365.6pt;width:.8pt;height:.7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Yr21eQIAAPsEAAAOAAAAZHJzL2Uyb0RvYy54bWysVG2PEyEQ/m7ifyB8b/cl25fddHu5a60x OfXi6Q+gwHaJLCDQbk/jf3dg29pTPxhjm7DADA/PzDzD4ubYSXTg1gmtapyNU4y4opoJtavxp4+b 0Rwj54liRGrFa/zEHb5Zvnyx6E3Fc91qybhFAKJc1Zsat96bKkkcbXlH3FgbrsDYaNsRD0u7S5gl PaB3MsnTdJr02jJjNeXOwe56MOJlxG8aTv37pnHcI1lj4ObjaOO4DWOyXJBqZ4lpBT3RIP/AoiNC waUXqDXxBO2t+A2qE9Rqpxs/prpLdNMIymMMEE2W/hLNY0sMj7FAcpy5pMn9P1j67vBgkWA1npQl Rop0UKQPkDaidpKjaT4LKeqNq8Dz0TzYEKQz95p+dkjpVQt+/NZa3becMCCWBf/k2YGwcHAUbfu3 mgE+2Xsds3VsbBcAIQ/oGIvydCkKP3pEYTNLsylUjoKlnOSTCE+q80ljnX/NdYfCpMYWmEdkcrh3 PjAh1dklMtdSsI2QMi7sbruSFh0IiGOVhv8J3V27SRWclQ7HBsRhBwjCHcEWqMZifyuzvEjv8nK0 mc5no2JTTEblLJ2P0qy8K6dpURbrzfdAMCuqVjDG1b1Q/Cy8rPi7wp5aYJBMlB7qT9mJcV2zd9dB pvH3pyA74aEPpehqPL84kSoU9ZViEDapPBFymCfP6ccsQw7O35iVKIFQ9UE9W82eQAFWQ5GgmvBi wKTV9itGPXRfjd2XPbEcI/lGgYrKrChCu8ZFMZnlsLDXlu21hSgKUDX2GA3TlR9afG+s2LVwUxZF ofQtKK8RURhBlQOrk16hw2IEp9cgtPD1Onr9fLOWPwAAAP//AwBQSwMEFAAGAAgAAAAhAIlLjuHf AAAACwEAAA8AAABkcnMvZG93bnJldi54bWxMj8FOwzAMhu9IvENkJG4sXTvWrTSdJiTgiLYhzllj 2rLGqZJ0K2+Pd4Kj7U+/v7/cTLYXZ/Shc6RgPktAINXOdNQo+Di8PKxAhKjJ6N4RKvjBAJvq9qbU hXEX2uF5HxvBIRQKraCNcSikDHWLVoeZG5D49uW81ZFH30jj9YXDbS/TJFlKqzviD60e8LnF+rQf rQJ5WPp4yhbZ9y6GdGvH17f3+lOp+7tp+wQi4hT/YLjqszpU7HR0I5kgegXrxSpnVEGezVMQTKwf kwzE8bpJc5BVKf93qH4BAAD//wMAUEsBAi0AFAAGAAgAAAAhALaDOJL+AAAA4QEAABMAAAAAAAAA AAAAAAAAAAAAAFtDb250ZW50X1R5cGVzXS54bWxQSwECLQAUAAYACAAAACEAOP0h/9YAAACUAQAA CwAAAAAAAAAAAAAAAAAvAQAAX3JlbHMvLnJlbHNQSwECLQAUAAYACAAAACEA4WK9tXkCAAD7BAAA DgAAAAAAAAAAAAAAAAAuAgAAZHJzL2Uyb0RvYy54bWxQSwECLQAUAAYACAAAACEAiUuO4d8AAAAL AQAADwAAAAAAAAAAAAAAAADTBAAAZHJzL2Rvd25yZXYueG1sUEsFBgAAAAAEAAQA8wAAAN8FAAAA AA== " fillcolor="silver" stroked="f"/>
                    </w:pict>
                  </mc:Fallback>
                </mc:AlternateContent>
                <mc:AlternateContent>
                  <mc:Choice Requires="wps">
                    <w:drawing>
                      <wp:anchor distT="0" distB="0" distL="114300" distR="114300" simplePos="0" relativeHeight="251745280" behindDoc="0" locked="0" layoutInCell="1" allowOverlap="1">
                        <wp:simplePos x="0" y="0"/>
                        <wp:positionH relativeFrom="column">
                          <wp:posOffset>6024245</wp:posOffset>
                        </wp:positionH>
                        <wp:positionV relativeFrom="paragraph">
                          <wp:posOffset>4643120</wp:posOffset>
                        </wp:positionV>
                        <wp:extent cx="635" cy="635"/>
                        <wp:effectExtent l="13970" t="13970" r="13970" b="13970"/>
                        <wp:wrapNone/>
                        <wp:docPr id="600" name="Line 6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6"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65.6pt" to="474.4pt,365.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v1Y0EgIAACcEAAAOAAAAZHJzL2Uyb0RvYy54bWysU8GO2yAQvVfqPyDuie1s1s1acVaVnfSS tpF2+wEEcIyKAQGJE1X99w7YSZv2UlWVJTzAzJs3b4bl87mT6MStE1qVOJumGHFFNRPqUOIvr5vJ AiPniWJEasVLfOEOP6/evln2puAz3WrJuEUAolzRmxK33psiSRxteUfcVBuu4LLRtiMetvaQMEt6 QO9kMkvTPOm1ZcZqyp2D03q4xKuI3zSc+s9N47hHssTAzcfVxnUf1mS1JMXBEtMKOtIg/8CiI0JB 0htUTTxBRyv+gOoEtdrpxk+p7hLdNILyWANUk6W/VfPSEsNjLSCOMzeZ3P+DpZ9OO4sEK3Gegj6K dNCkrVAc5bM8qNMbV4BTpXY21EfP6sVsNf3qkNJVS9SBR5avFwOBWYhI7kLCxhnIse8/agY+5Oh1 lOrc2C5AggjoHDtyuXWEnz2icJg/PGJE4TwYAZsU1zBjnf/AdYeCUWIJnCMsOW2dH1yvLiGL0hsh JZyTQirUh0zBdloKFm7ixh72lbToRGBaqjR8Y9I7N6uPikWklhO2Hm1PhBxsIClVwIMqgMtoDePw 7Sl9Wi/Wi/lkPsvXk3la15P3m2o+yTfZu8f6oa6qOvseqGXzohWMcRXYXUczm/9d68dHMgzVbThv GiT36FFXIHv9R9KxjaFzwwzsNbvsbNA1dBSmMTqPLyeM+6/76PXzfa9+AAAA//8DAFBLAwQUAAYA CAAAACEA5bvbMN4AAAALAQAADwAAAGRycy9kb3ducmV2LnhtbEyPPU/DMBCGdyT+g3VIbNRuUpE2 xKkQiAHRDhSqrm58JBHxOYrdJvx7DhYY771H70exnlwnzjiE1pOG+UyBQKq8banW8P72dLMEEaIh azpPqOELA6zLy4vC5NaP9IrnXawFm1DIjYYmxj6XMlQNOhNmvkfi34cfnIl8DrW0gxnZ3HUyUepW OtMSJzSmx4cGq8/dyWmQY33I1EaZZP/iHw/p8zbZLKzW11fT/R2IiFP8g+GnPleHkjsd/YlsEJ2G 1WKZMaohS+cJCCZY4THHXyUFWRby/4byGwAA//8DAFBLAQItABQABgAIAAAAIQC2gziS/gAAAOEB AAATAAAAAAAAAAAAAAAAAAAAAABbQ29udGVudF9UeXBlc10ueG1sUEsBAi0AFAAGAAgAAAAhADj9 If/WAAAAlAEAAAsAAAAAAAAAAAAAAAAALwEAAF9yZWxzLy5yZWxzUEsBAi0AFAAGAAgAAAAhAKa/ VjQSAgAAJwQAAA4AAAAAAAAAAAAAAAAALgIAAGRycy9lMm9Eb2MueG1sUEsBAi0AFAAGAAgAAAAh AOW72zD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44256" behindDoc="0" locked="0" layoutInCell="1" allowOverlap="1">
                        <wp:simplePos x="0" y="0"/>
                        <wp:positionH relativeFrom="column">
                          <wp:posOffset>6024245</wp:posOffset>
                        </wp:positionH>
                        <wp:positionV relativeFrom="paragraph">
                          <wp:posOffset>4486275</wp:posOffset>
                        </wp:positionV>
                        <wp:extent cx="10160" cy="9525"/>
                        <wp:effectExtent l="4445" t="0" r="4445" b="0"/>
                        <wp:wrapNone/>
                        <wp:docPr id="601" name="Rectangle 6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5" o:spid="_x0000_s1026" style="position:absolute;margin-left:474.35pt;margin-top:353.25pt;width:.8pt;height:.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HpsweQIAAPsEAAAOAAAAZHJzL2Uyb0RvYy54bWysVNuO0zAQfUfiHyy/t0mq9JKo6Wq3pQip wIqFD3Btp7FwbGO7TQvi3xk7bekCDwjRSo7tGR+fmTnj+d2xlejArRNaVTgbphhxRTUTalfhTx/X gxlGzhPFiNSKV/jEHb5bvHwx70zJR7rRknGLAES5sjMVbrw3ZZI42vCWuKE2XIGx1rYlHpZ2lzBL OkBvZTJK00nSacuM1ZQ7B7ur3ogXEb+uOfXv69pxj2SFgZuPo43jNozJYk7KnSWmEfRMg/wDi5YI BZdeoVbEE7S34jeoVlCrna79kOo20XUtKI8xQDRZ+ks0Tw0xPMYCyXHmmib3/2Dpu8OjRYJVeJJm GCnSQpE+QNqI2kmOJqNxSFFnXAmeT+bRhiCd2Wj62SGllw348XtrdddwwoBYFvyTZwfCwsFRtO3e agb4ZO91zNaxtm0AhDygYyzK6VoUfvSIwmaWZhOoHAVLMe7pJKS8nDTW+ddctyhMKmyBeUQmh43z gQkpLy6RuZaCrYWUcWF326W06EBAHMs0/CN5CPDWTargrHQ41iP2O0AQ7gi2QDUW+1uRjfL0YVQM 1pPZdJCv8/GgmKazQZoVD8UkzYt8tf4eCGZ52QjGuNoIxS/Cy/K/K+y5BXrJROmh7pydGNcte3cb ZBp/fwqyFR76UIq2wrOrEylDUV8pBmGT0hMh+3nynH7MMuTg8o1ZiRIIVe/Vs9XsBAqwGooE1YQX AyaNtl8x6qD7Kuy+7InlGMk3ClRUZHke2jUu8vF0BAt7a9neWoiiAFVhj1E/Xfq+xffGil0DN2VR FErfg/JqEYURVNmzOusVOixGcH4NQgvfrqPXzzdr8QMAAP//AwBQSwMEFAAGAAgAAAAhABdqSnbf AAAACwEAAA8AAABkcnMvZG93bnJldi54bWxMj8FuwjAMhu+T9g6RJ3EbCRRK6ZoihLTtOAHTzqHx 2kLjVEkK3dsvnLaj7U+/v7/YjKZjV3S+tSRhNhXAkCqrW6olfB5fnzNgPijSqrOEEn7Qw6Z8fChU ru2N9ng9hJrFEPK5ktCE0Oec+6pBo/zU9kjx9m2dUSGOrubaqVsMNx2fC5Fyo1qKHxrV467B6nIY jAR+TF24JIvkvA9+vjXD2/tH9SXl5GncvgALOIY/GO76UR3K6HSyA2nPOgnrRbaKqISVSJfAIrFe igTY6b7JBPCy4P87lL8AAAD//wMAUEsBAi0AFAAGAAgAAAAhALaDOJL+AAAA4QEAABMAAAAAAAAA AAAAAAAAAAAAAFtDb250ZW50X1R5cGVzXS54bWxQSwECLQAUAAYACAAAACEAOP0h/9YAAACUAQAA CwAAAAAAAAAAAAAAAAAvAQAAX3JlbHMvLnJlbHNQSwECLQAUAAYACAAAACEADh6bMHkCAAD7BAAA DgAAAAAAAAAAAAAAAAAuAgAAZHJzL2Uyb0RvYy54bWxQSwECLQAUAAYACAAAACEAF2pKdt8AAAAL AQAADwAAAAAAAAAAAAAAAADTBAAAZHJzL2Rvd25yZXYueG1sUEsFBgAAAAAEAAQA8wAAAN8FAAAA AA== " fillcolor="silver" stroked="f"/>
                    </w:pict>
                  </mc:Fallback>
                </mc:AlternateContent>
                <mc:AlternateContent>
                  <mc:Choice Requires="wps">
                    <w:drawing>
                      <wp:anchor distT="0" distB="0" distL="114300" distR="114300" simplePos="0" relativeHeight="251743232" behindDoc="0" locked="0" layoutInCell="1" allowOverlap="1">
                        <wp:simplePos x="0" y="0"/>
                        <wp:positionH relativeFrom="column">
                          <wp:posOffset>6024245</wp:posOffset>
                        </wp:positionH>
                        <wp:positionV relativeFrom="paragraph">
                          <wp:posOffset>4486275</wp:posOffset>
                        </wp:positionV>
                        <wp:extent cx="635" cy="635"/>
                        <wp:effectExtent l="13970" t="9525" r="13970" b="8890"/>
                        <wp:wrapNone/>
                        <wp:docPr id="602" name="Line 6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4"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53.25pt" to="474.4pt,353.3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aPH4EgIAACcEAAAOAAAAZHJzL2Uyb0RvYy54bWysU82O2jAQvlfqO1i+QxI2S9mIsKoS6IW2 SLt9AGM7xKpjW7YhoKrv3rETaGkvVVVFcmbGM9988+Pl87mT6MStE1qVOJumGHFFNRPqUOIvr5vJ AiPniWJEasVLfOEOP6/evln2puAz3WrJuEUAolzRmxK33psiSRxteUfcVBuu4LLRtiMeVHtImCU9 oHcymaXpPOm1ZcZqyp0Daz1c4lXEbxpO/eemcdwjWWLg5uNp47kPZ7JakuJgiWkFHWmQf2DREaEg 6Q2qJp6goxV/QHWCWu1046dUd4luGkF5rAGqydLfqnlpieGxFmiOM7c2uf8HSz+ddhYJVuJ5OsNI kQ6GtBWKo/ksD93pjSvAqVI7G+qjZ/Vitpp+dUjpqiXqwCPL14uBwCxEJHchQXEGcuz7j5qBDzl6 HVt1bmwXIKEJ6BwncrlNhJ89omCcPzxiRMEehIBNimuYsc5/4LpDQSixBM4Rlpy2zg+uV5eQRemN kBLspJAK9SFTkJ2WgoWbqNjDvpIWnQhsS5WGb0x652b1UbGI1HLC1qPsiZCDDCSlCnhQBXAZpWEd vj2lT+vFepFP8tl8PcnTup6831T5ZL7J3j3WD3VV1dn3QC3Li1YwxlVgd13NLP+70Y+PZFiq23Le epDco8e+AtnrP5KOYwyTG3Zgr9llZ0Nfw0RhG6Pz+HLCuv+qR6+f73v1AwAA//8DAFBLAwQUAAYA CAAAACEAJ5r6Zd4AAAALAQAADwAAAGRycy9kb3ducmV2LnhtbEyPPU/DMBCGdyT+g3VIbNQmlKSE OBUCMSDKQFvU9RofSURsR7HbhH/PlQXGe+/R+1EsJ9uJIw2h9U7D9UyBIFd507paw3bzfLUAESI6 g513pOGbAizL87MCc+NH907HdawFm7iQo4Ymxj6XMlQNWQwz35Pj36cfLEY+h1qaAUc2t51MlEql xdZxQoM9PTZUfa0PVoMc612mVgqTj1f/tLt5eUtWc6P15cX0cA8i0hT/YDjV5+pQcqe9PzgTRKfh br7IGNWQqfQWBBOs8Jj9r5KCLAv5f0P5AwAA//8DAFBLAQItABQABgAIAAAAIQC2gziS/gAAAOEB AAATAAAAAAAAAAAAAAAAAAAAAABbQ29udGVudF9UeXBlc10ueG1sUEsBAi0AFAAGAAgAAAAhADj9 If/WAAAAlAEAAAsAAAAAAAAAAAAAAAAALwEAAF9yZWxzLy5yZWxzUEsBAi0AFAAGAAgAAAAhAAto 8fgSAgAAJwQAAA4AAAAAAAAAAAAAAAAALgIAAGRycy9lMm9Eb2MueG1sUEsBAi0AFAAGAAgAAAAh ACea+mX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42208" behindDoc="0" locked="0" layoutInCell="1" allowOverlap="1">
                        <wp:simplePos x="0" y="0"/>
                        <wp:positionH relativeFrom="column">
                          <wp:posOffset>6024245</wp:posOffset>
                        </wp:positionH>
                        <wp:positionV relativeFrom="paragraph">
                          <wp:posOffset>4329430</wp:posOffset>
                        </wp:positionV>
                        <wp:extent cx="10160" cy="8890"/>
                        <wp:effectExtent l="4445" t="0" r="4445" b="0"/>
                        <wp:wrapNone/>
                        <wp:docPr id="603" name="Rectangle 6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3" o:spid="_x0000_s1026" style="position:absolute;margin-left:474.35pt;margin-top:340.9pt;width:.8pt;height:.7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UdDfgIAAPsEAAAOAAAAZHJzL2Uyb0RvYy54bWysVG2PEyEQ/m7ifyB87+3LbXvdTbeXu9Ya k1Mvnv4ACmyXyAIC7fY0/ncHtq2t+sEY24QFZnh4ZuYZZrf7TqIdt05oVePsKsWIK6qZUJsaf/q4 Gk0xcp4oRqRWvMbP3OHb+csXs95UPNetloxbBCDKVb2pceu9qZLE0ZZ3xF1pwxUYG2074mFpNwmz pAf0TiZ5mk6SXltmrKbcOdhdDkY8j/hNw6l/3zSOeyRrDNx8HG0c12FM5jNSbSwxraAHGuQfWHRE KLj0BLUknqCtFb9BdYJa7XTjr6juEt00gvIYA0STpb9E89QSw2MskBxnTmly/w+Wvts9WiRYjSfp NUaKdFCkD5A2ojaSo0l+HVLUG1eB55N5tCFIZx40/eyQ0osW/PidtbpvOWFALAv+ycWBsHBwFK37 t5oBPtl6HbO1b2wXACEPaB+L8nwqCt97RGEzS7MJVI6CZTotY8USUh1PGuv8a647FCY1tsA8IpPd g/OBCamOLpG5loKthJRxYTfrhbRoR0AcizT8I3kI8NxNquCsdDg2IA47QBDuCLZANRb7W5nlRXqf l6PVZHozKlbFeFTepNNRmpX35SQtymK5+h4IZkXVCsa4ehCKH4WXFX9X2EMLDJKJ0kN9jctxPo6x X7B350Gm8fenIDvhoQ+l6CDLJydShaK+UgzCJpUnQg7z5JJ+zDLk4PiNWYkSCFUf1LPW7BkUYDUU CaoJLwZMWm2/YtRD99XYfdkSyzGSbxSoqMyKIrRrXBTjmxwW9tyyPrcQRQGqxh6jYbrwQ4tvjRWb Fm7KYmKUvgPlNSIKI6hyYHXQK3RYjODwGoQWPl9Hr59v1vwHAAAA//8DAFBLAwQUAAYACAAAACEA Fk6UkN8AAAALAQAADwAAAGRycy9kb3ducmV2LnhtbEyPwU7DMAyG70i8Q2QkbixdO0rXNZ0mJOCI tiHOWeO1ZY1TNelW3h7vNI62P/3+/mI92U6ccfCtIwXzWQQCqXKmpVrB1/7tKQPhgyajO0eo4Bc9 rMv7u0Lnxl1oi+ddqAWHkM+1giaEPpfSVw1a7WeuR+Lb0Q1WBx6HWppBXzjcdjKOolRa3RJ/aHSP rw1Wp91oFch9OoRTskh+tsHHGzu+f3xW30o9PkybFYiAU7jBcNVndSjZ6eBGMl50CpaL7IVRBWk2 5w5MLJ+jBMThuklikGUh/3co/wAAAP//AwBQSwECLQAUAAYACAAAACEAtoM4kv4AAADhAQAAEwAA AAAAAAAAAAAAAAAAAAAAW0NvbnRlbnRfVHlwZXNdLnhtbFBLAQItABQABgAIAAAAIQA4/SH/1gAA AJQBAAALAAAAAAAAAAAAAAAAAC8BAABfcmVscy8ucmVsc1BLAQItABQABgAIAAAAIQC/NUdDfgIA APsEAAAOAAAAAAAAAAAAAAAAAC4CAABkcnMvZTJvRG9jLnhtbFBLAQItABQABgAIAAAAIQAWTpSQ 3wAAAAsBAAAPAAAAAAAAAAAAAAAAANgEAABkcnMvZG93bnJldi54bWxQSwUGAAAAAAQABADzAAAA 5AUAAAAA " fillcolor="silver" stroked="f"/>
                    </w:pict>
                  </mc:Fallback>
                </mc:AlternateContent>
                <mc:AlternateContent>
                  <mc:Choice Requires="wps">
                    <w:drawing>
                      <wp:anchor distT="0" distB="0" distL="114300" distR="114300" simplePos="0" relativeHeight="251741184" behindDoc="0" locked="0" layoutInCell="1" allowOverlap="1">
                        <wp:simplePos x="0" y="0"/>
                        <wp:positionH relativeFrom="column">
                          <wp:posOffset>6024245</wp:posOffset>
                        </wp:positionH>
                        <wp:positionV relativeFrom="paragraph">
                          <wp:posOffset>4329430</wp:posOffset>
                        </wp:positionV>
                        <wp:extent cx="635" cy="635"/>
                        <wp:effectExtent l="13970" t="5080" r="13970" b="13335"/>
                        <wp:wrapNone/>
                        <wp:docPr id="604" name="Line 6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2"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40.9pt" to="474.4pt,340.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9Fmh2EgIAACcEAAAOAAAAZHJzL2Uyb0RvYy54bWysU82O2jAQvlfqO1i+QxI2S9mIsKoS6IW2 SLt9AGM7xKpjW7YhoKrv3rETaGkvVVVFcmbGM9988+Pl87mT6MStE1qVOJumGHFFNRPqUOIvr5vJ AiPniWJEasVLfOEOP6/evln2puAz3WrJuEUAolzRmxK33psiSRxteUfcVBuu4LLRtiMeVHtImCU9 oHcymaXpPOm1ZcZqyp0Daz1c4lXEbxpO/eemcdwjWWLg5uNp47kPZ7JakuJgiWkFHWmQf2DREaEg 6Q2qJp6goxV/QHWCWu1046dUd4luGkF5rAGqydLfqnlpieGxFmiOM7c2uf8HSz+ddhYJVuJ5mmOk SAdD2grF0Xw2C93pjSvAqVI7G+qjZ/Vitpp+dUjpqiXqwCPL14uBwCxEJHchQXEGcuz7j5qBDzl6 HVt1bmwXIKEJ6BwncrlNhJ89omCcPzxiRMEehIBNimuYsc5/4LpDQSixBM4Rlpy2zg+uV5eQRemN kBLspJAK9SFTkJ2WgoWbqNjDvpIWnQhsS5WGb0x652b1UbGI1HLC1qPsiZCDDCSlCnhQBXAZpWEd vj2lT+vFepFP8tl8PcnTup6831T5ZL7J3j3WD3VV1dn3QC3Li1YwxlVgd13NLP+70Y+PZFiq23Le epDco8e+AtnrP5KOYwyTG3Zgr9llZ0Nfw0RhG6Pz+HLCuv+qR6+f73v1AwAA//8DAFBLAwQUAAYA CAAAACEA8hM5Z98AAAALAQAADwAAAGRycy9kb3ducmV2LnhtbEyPQU/DMAyF70j8h8hI3Fi6Mm1d aTohEAfEODBAu3qNaSsap2qytfx7DBe42c9Pz98rNpPr1ImG0Ho2MJ8loIgrb1uuDby9PlxloEJE tth5JgNfFGBTnp8VmFs/8guddrFWEsIhRwNNjH2udagachhmvieW24cfHEZZh1rbAUcJd51Ok2Sp HbYsHxrs6a6h6nN3dAb0WO9XyTbB9P3J3++vH5/T7cIac3kx3d6AijTFPzP84As6lMJ08Ee2QXUG 1otsJVYDy2wuHcQhigyHX2UNuiz0/w7lNwAAAP//AwBQSwECLQAUAAYACAAAACEAtoM4kv4AAADh AQAAEwAAAAAAAAAAAAAAAAAAAAAAW0NvbnRlbnRfVHlwZXNdLnhtbFBLAQItABQABgAIAAAAIQA4 /SH/1gAAAJQBAAALAAAAAAAAAAAAAAAAAC8BAABfcmVscy8ucmVsc1BLAQItABQABgAIAAAAIQC9 Fmh2EgIAACcEAAAOAAAAAAAAAAAAAAAAAC4CAABkcnMvZTJvRG9jLnhtbFBLAQItABQABgAIAAAA IQDyEzln3wAAAAsBAAAPAAAAAAAAAAAAAAAAAGwEAABkcnMvZG93bnJldi54bWxQSwUGAAAAAAQA BADzAAAAeAUAAAAA " strokecolor="silver" strokeweight="0"/>
                    </w:pict>
                  </mc:Fallback>
                </mc:AlternateContent>
                <mc:AlternateContent>
                  <mc:Choice Requires="wps">
                    <w:drawing>
                      <wp:anchor distT="0" distB="0" distL="114300" distR="114300" simplePos="0" relativeHeight="251740160" behindDoc="0" locked="0" layoutInCell="1" allowOverlap="1">
                        <wp:simplePos x="0" y="0"/>
                        <wp:positionH relativeFrom="column">
                          <wp:posOffset>6024245</wp:posOffset>
                        </wp:positionH>
                        <wp:positionV relativeFrom="paragraph">
                          <wp:posOffset>4172585</wp:posOffset>
                        </wp:positionV>
                        <wp:extent cx="10160" cy="8890"/>
                        <wp:effectExtent l="4445" t="635" r="4445" b="0"/>
                        <wp:wrapNone/>
                        <wp:docPr id="605" name="Rectangle 6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1" o:spid="_x0000_s1026" style="position:absolute;margin-left:474.35pt;margin-top:328.55pt;width:.8pt;height:.7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9wh3fQIAAPsEAAAOAAAAZHJzL2Uyb0RvYy54bWysVNuO0zAQfUfiHyy/d3NRekm06Wq3SxFS gRULH+DaTmLh2MZ2my6If2fstKULPCBEKzkez8Vn5sz4+ubQS7Tn1gmtapxdpRhxRTUTqq3xp4/r yQIj54liRGrFa/zEHb5ZvnxxPZiK57rTknGLIIhy1WBq3HlvqiRxtOM9cVfacAXKRtueeBBtmzBL BojeyyRP01kyaMuM1ZQ7B6f3oxIvY/ym4dS/bxrHPZI1Bmw+rjau27Amy2tStZaYTtAjDPIPKHoi FFx6DnVPPEE7K34L1QtqtdONv6K6T3TTCMpjDpBNlv6SzWNHDI+5QHGcOZfJ/b+w9N3+wSLBajxL pxgp0gNJH6BsRLWSo1mehRINxlVg+WgebEjSmY2mnx1SetWBHb+1Vg8dJwyARfvkmUMQHLii7fBW M4hPdl7Hah0a24eAUAd0iKQ8nUnhB48oHGZpNgPmKGgWizIylpDq5Gms86+57lHY1NgC8hiZ7DfO A3IwPZlE5FoKthZSRsG225W0aE+gOVZp+IdkwcVdmkkVjJUObqN6PAGAcEfQBaiR7G9llhfpXV5O 1rPFfFKsi+mknKeLSZqVd+UsLcrifv09AMyKqhOMcbURip8aLyv+jtjjCIwtE1sPDTUup/k05v4M vbtMMo2/PyXZCw9zKEUPVT4bkSqQ+koxSJtUngg57pPn8GPJoAanb6xKbIHA+tg9W82eoAOsBpKA TXgxYNNp+xWjAaavxu7LjliOkXyjoIvKrCjCuEahmM5zEOylZnupIYpCqBp7jMbtyo8jvjNWtB3c lMXCKH0LndeI2BihK0dUgDsIMGExg+NrEEb4Uo5WP9+s5Q8AAAD//wMAUEsDBBQABgAIAAAAIQAe Hogx4AAAAAsBAAAPAAAAZHJzL2Rvd25yZXYueG1sTI/LbsIwEEX3lfoP1lRiVxwICSGNgxBS22XF Q12beJqkxOPIdiD9+5oVLGfm6M65xXrUHbugda0hAbNpBAypMqqlWsDx8P6aAXNekpKdIRTwhw7W 5fNTIXNlrrTDy97XLISQy6WAxvs+59xVDWrppqZHCrcfY7X0YbQ1V1ZeQ7ju+DyKUq5lS+FDI3vc Nlid94MWwA+p9ed4Ef/uvJtv9PDx+VV9CzF5GTdvwDyO/g7DTT+oQxmcTmYg5VgnYLXIlgEVkCbL GbBArJIoBna6bbIEeFnwxw7lPwAAAP//AwBQSwECLQAUAAYACAAAACEAtoM4kv4AAADhAQAAEwAA AAAAAAAAAAAAAAAAAAAAW0NvbnRlbnRfVHlwZXNdLnhtbFBLAQItABQABgAIAAAAIQA4/SH/1gAA AJQBAAALAAAAAAAAAAAAAAAAAC8BAABfcmVscy8ucmVsc1BLAQItABQABgAIAAAAIQBn9wh3fQIA APsEAAAOAAAAAAAAAAAAAAAAAC4CAABkcnMvZTJvRG9jLnhtbFBLAQItABQABgAIAAAAIQAeHogx 4AAAAAsBAAAPAAAAAAAAAAAAAAAAANcEAABkcnMvZG93bnJldi54bWxQSwUGAAAAAAQABADzAAAA 5AUAAAAA " fillcolor="silver" stroked="f"/>
                    </w:pict>
                  </mc:Fallback>
                </mc:AlternateContent>
                <mc:AlternateContent>
                  <mc:Choice Requires="wps">
                    <w:drawing>
                      <wp:anchor distT="0" distB="0" distL="114300" distR="114300" simplePos="0" relativeHeight="251739136" behindDoc="0" locked="0" layoutInCell="1" allowOverlap="1">
                        <wp:simplePos x="0" y="0"/>
                        <wp:positionH relativeFrom="column">
                          <wp:posOffset>6024245</wp:posOffset>
                        </wp:positionH>
                        <wp:positionV relativeFrom="paragraph">
                          <wp:posOffset>4172585</wp:posOffset>
                        </wp:positionV>
                        <wp:extent cx="635" cy="635"/>
                        <wp:effectExtent l="13970" t="10160" r="13970" b="8255"/>
                        <wp:wrapNone/>
                        <wp:docPr id="606" name="Line 6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0" o:spid="_x0000_s1026" style="position:absolute;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28.55pt" to="474.4pt,328.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wc+6EgIAACcEAAAOAAAAZHJzL2Uyb0RvYy54bWysU8GO2yAQvVfqPyDuie2s181acVaVnfSS tpF2+wEEcIyKAQGJE1X99w7ESZv2UlWVJTwDw5s3b4bF86mX6MitE1pVOJumGHFFNRNqX+Evr+vJ HCPniWJEasUrfOYOPy/fvlkMpuQz3WnJuEUAolw5mAp33psySRzteE/cVBuu4LDVticeXLtPmCUD oPcymaVpkQzaMmM15c7BbnM5xMuI37ac+s9t67hHssLAzcfVxnUX1mS5IOXeEtMJOtIg/8CiJ0JB 0htUQzxBByv+gOoFtdrp1k+p7hPdtoLyWANUk6W/VfPSEcNjLSCOMzeZ3P+DpZ+OW4sEq3CRFhgp 0kOTNkJxVMyiOoNxJQTVamtDffSkXsxG068OKV13RO15ZPl6NnAxC3omd1eC4wzk2A0fNYMYcvA6 SnVqbR8gQQR0ih053zrCTx5R2CweHjGisB+MgE3K6zVjnf/AdY+CUWEJnCMsOW6cv4ReQ0IWpddC ythuqdAQMoVtp6Vg4SQ6dr+rpUVHAtNSp+Ebk96FWX1QLCJ1nLDVaHsi5MUGklIFPKgCuIzWZRy+ PaVPq/lqnk/yWbGa5GnTTN6v63xSrLN3j81DU9dN9j1Qy/KyE4xxFdhdRzPL/6714yO5DNVtOG8a JPfoUVcge/1H0rGNoXPhLblyp9l5a4OuwYNpjMHjywnj/qsfo36+7+UPAAAA//8DAFBLAwQUAAYA CAAAACEAMFW9kN4AAAALAQAADwAAAGRycy9kb3ducmV2LnhtbEyPTU/DMAyG70j8h8hI3Fi6MtZR mk4IxAExDgzQrl5j2orGqZpsLf8ewwWOfv3o/SjWk+vUkYbQejYwnyWgiCtvW64NvL0+XKxAhYhs sfNMBr4owLo8PSkwt37kFzpuY63EhEOOBpoY+1zrUDXkMMx8Tyy/Dz84jHIOtbYDjmLuOp0myVI7 bFkSGuzprqHqc3twBvRY77Jkk2D6/uTvd5ePz+lmYY05P5tub0BFmuIfDD/1pTqU0mnvD2yD6gxc L1aZoAaWV9kclBCiyJj9r5KCLgv9f0P5DQAA//8DAFBLAQItABQABgAIAAAAIQC2gziS/gAAAOEB AAATAAAAAAAAAAAAAAAAAAAAAABbQ29udGVudF9UeXBlc10ueG1sUEsBAi0AFAAGAAgAAAAhADj9 If/WAAAAlAEAAAsAAAAAAAAAAAAAAAAALwEAAF9yZWxzLy5yZWxzUEsBAi0AFAAGAAgAAAAhABDB z7oSAgAAJwQAAA4AAAAAAAAAAAAAAAAALgIAAGRycy9lMm9Eb2MueG1sUEsBAi0AFAAGAAgAAAAh ADBVvZDeAAAACwEAAA8AAAAAAAAAAAAAAAAAbAQAAGRycy9kb3ducmV2LnhtbFBLBQYAAAAABAAE APMAAAB3BQAAAAA= " strokecolor="silver" strokeweight="0"/>
                    </w:pict>
                  </mc:Fallback>
                </mc:AlternateContent>
                <mc:AlternateContent>
                  <mc:Choice Requires="wps">
                    <w:drawing>
                      <wp:anchor distT="0" distB="0" distL="114300" distR="114300" simplePos="0" relativeHeight="251738112" behindDoc="0" locked="0" layoutInCell="1" allowOverlap="1">
                        <wp:simplePos x="0" y="0"/>
                        <wp:positionH relativeFrom="column">
                          <wp:posOffset>6024245</wp:posOffset>
                        </wp:positionH>
                        <wp:positionV relativeFrom="paragraph">
                          <wp:posOffset>4015740</wp:posOffset>
                        </wp:positionV>
                        <wp:extent cx="10160" cy="8890"/>
                        <wp:effectExtent l="4445" t="0" r="4445" b="4445"/>
                        <wp:wrapNone/>
                        <wp:docPr id="671" name="Rectangle 6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9" o:spid="_x0000_s1026" style="position:absolute;margin-left:474.35pt;margin-top:316.2pt;width:.8pt;height:.7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SSy0AfQIAAPsEAAAOAAAAZHJzL2Uyb0RvYy54bWysVG2PEyEQ/m7ifyB87+3SbF920+3lrmeN yakXT38ABbZLZAGBdnsa/7sD29ae+sEY24QFZnh4ZuYZFteHTqG9cF4aXWNylWMkNDNc6m2NP31c j+YY+UA1p8poUeMn4fH18uWLRW8rMTatUVw4BCDaV72tcRuCrbLMs1Z01F8ZKzQYG+M6GmDpthl3 tAf0TmXjPJ9mvXHcOsOE97B7NxjxMuE3jWDhfdN4EZCqMXALaXRp3MQxWy5otXXUtpIdadB/YNFR qeHSM9QdDRTtnPwNqpPMGW+acMVMl5mmkUykGCAakv8SzWNLrUixQHK8PafJ/z9Y9m7/4JDkNZ7O CEaadlCkD5A2qrdKoCkpY4p66yvwfLQPLgbp7b1hnz3SZtWCn7hxzvStoByIkeifPTsQFx6Ook3/ 1nDAp7tgUrYOjesiIOQBHVJRns5FEYeAGGySnEyhcgws83mZKpbR6nTSOh9eC9OhOKmxA+YJme7v fYhMaHVyScyNknwtlUoLt92slEN7CuJY5fGfyEOAl25KR2dt4rEBcdgBgnBHtEWqqdjfSjIu8ttx OVpP57NRsS4mo3KWz0c5KW/LaV6Uxd36eyRIiqqVnAt9L7U4CY8Uf1fYYwsMkknSQ32Ny8l4kmJ/ xt5fBpmn35+C7GSAPlSygyyfnWgVi/pKcwibVoFKNcyz5/RTliEHp2/KSpJArPqgno3hT6AAZ6BI UE14MWDSGvcVox66r8b+y446gZF6o0FFJSmK2K5pUUxmY1i4S8vm0kI1A6gaB4yG6SoMLb6zTm5b uImkxGhzA8prZBJGVOXA6qhX6LAUwfE1iC18uU5eP9+s5Q8AAAD//wMAUEsDBBQABgAIAAAAIQAh bjCG3wAAAAsBAAAPAAAAZHJzL2Rvd25yZXYueG1sTI/BTsMwDIbvSLxDZCRuLKUppStNpwkJOKJt aOes8dqyxqmSdCtvT3aCo+1Pv7+/Ws1mYGd0vrck4XGRAENqrO6plfC1e3sogPmgSKvBEkr4QQ+r +vamUqW2F9rgeRtaFkPIl0pCF8JYcu6bDo3yCzsixdvROqNCHF3LtVOXGG4GniZJzo3qKX7o1Iiv HTan7WQk8F3uwklk4nsTfLo20/vHZ7OX8v5uXr8ACziHPxiu+lEd6uh0sBNpzwYJy6x4jqiEXKQZ sEgsnxIB7HDdiAJ4XfH/HepfAAAA//8DAFBLAQItABQABgAIAAAAIQC2gziS/gAAAOEBAAATAAAA AAAAAAAAAAAAAAAAAABbQ29udGVudF9UeXBlc10ueG1sUEsBAi0AFAAGAAgAAAAhADj9If/WAAAA lAEAAAsAAAAAAAAAAAAAAAAALwEAAF9yZWxzLy5yZWxzUEsBAi0AFAAGAAgAAAAhAFJLLQB9AgAA +wQAAA4AAAAAAAAAAAAAAAAALgIAAGRycy9lMm9Eb2MueG1sUEsBAi0AFAAGAAgAAAAhACFuMIbf AAAACwEAAA8AAAAAAAAAAAAAAAAA1wQAAGRycy9kb3ducmV2LnhtbFBLBQYAAAAABAAEAPMAAADj BQAAAAA= " fillcolor="silver" stroked="f"/>
                    </w:pict>
                  </mc:Fallback>
                </mc:AlternateContent>
                <mc:AlternateContent>
                  <mc:Choice Requires="wps">
                    <w:drawing>
                      <wp:anchor distT="0" distB="0" distL="114300" distR="114300" simplePos="0" relativeHeight="251737088" behindDoc="0" locked="0" layoutInCell="1" allowOverlap="1">
                        <wp:simplePos x="0" y="0"/>
                        <wp:positionH relativeFrom="column">
                          <wp:posOffset>6024245</wp:posOffset>
                        </wp:positionH>
                        <wp:positionV relativeFrom="paragraph">
                          <wp:posOffset>4015740</wp:posOffset>
                        </wp:positionV>
                        <wp:extent cx="635" cy="635"/>
                        <wp:effectExtent l="13970" t="5715" r="13970" b="12700"/>
                        <wp:wrapNone/>
                        <wp:docPr id="672" name="Line 6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8"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16.2pt" to="474.4pt,316.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TisBEwIAACcEAAAOAAAAZHJzL2Uyb0RvYy54bWysU82O2yAQvlfqOyDuie2sN5u14qwqO+ll 24202wcggGNUDAhInKjqu3fATtq0l6qqLOGZYeabb35YPp06iY7cOqFVibNpihFXVDOh9iX+8raZ LDBynihGpFa8xGfu8NPq/btlbwo+062WjFsEIMoVvSlx670pksTRlnfETbXhCi4bbTviQbX7hFnS A3onk1mazpNeW2asptw5sNbDJV5F/Kbh1L80jeMeyRIDNx9PG89dOJPVkhR7S0wr6EiD/AOLjggF Sa9QNfEEHaz4A6oT1GqnGz+lukt00wjKYw1QTZb+Vs1rSwyPtUBznLm2yf0/WPr5uLVIsBLPH2YY KdLBkJ6F4mieLUJ3euMKcKrU1ob66Em9mmdNvzqkdNUSteeR5dvZQGAWIpKbkKA4Azl2/SfNwIcc vI6tOjW2C5DQBHSKEzlfJ8JPHlEwzu/uMaJgD0LAJsUlzFjnP3LdoSCUWALnCEuOz84PrheXkEXp jZAS7KSQCvUhU5CdloKFm6jY/a6SFh0JbEuVhm9MeuNm9UGxiNRywtaj7ImQgwwkpQp4UAVwGaVh Hb49po/rxXqRT/LZfD3J07qefNhU+WS+yR7u67u6qurse6CW5UUrGOMqsLusZpb/3ejHRzIs1XU5 rz1IbtFjX4Hs5R9JxzGGyQ07sNPsvLWhr2GisI3ReXw5Yd1/1aPXz/e9+gEAAP//AwBQSwMEFAAG AAgAAAAhABx16EPeAAAACwEAAA8AAABkcnMvZG93bnJldi54bWxMj01PwzAMhu9I/IfISNxYSle2 UZpOCMQBMQ4M0K5eY9qKxqmabC3/HsMFjn796P0o1pPr1JGG0Ho2cDlLQBFX3rZcG3h7fbhYgQoR 2WLnmQx8UYB1eXpSYG79yC903MZaiQmHHA00Mfa51qFqyGGY+Z5Yfh9+cBjlHGptBxzF3HU6TZKF dtiyJDTY011D1ef24Azosd4tk02C6fuTv9/NH5/TTWaNOT+bbm9ARZriHww/9aU6lNJp7w9sg+oM XGerpaAGFvM0AyWEKDJm/6tcgS4L/X9D+Q0AAP//AwBQSwECLQAUAAYACAAAACEAtoM4kv4AAADh AQAAEwAAAAAAAAAAAAAAAAAAAAAAW0NvbnRlbnRfVHlwZXNdLnhtbFBLAQItABQABgAIAAAAIQA4 /SH/1gAAAJQBAAALAAAAAAAAAAAAAAAAAC8BAABfcmVscy8ucmVsc1BLAQItABQABgAIAAAAIQDf TisBEwIAACcEAAAOAAAAAAAAAAAAAAAAAC4CAABkcnMvZTJvRG9jLnhtbFBLAQItABQABgAIAAAA IQAcdehD3gAAAAsBAAAPAAAAAAAAAAAAAAAAAG0EAABkcnMvZG93bnJldi54bWxQSwUGAAAAAAQA BADzAAAAeAUAAAAA " strokecolor="silver" strokeweight="0"/>
                    </w:pict>
                  </mc:Fallback>
                </mc:AlternateContent>
                <mc:AlternateContent>
                  <mc:Choice Requires="wps">
                    <w:drawing>
                      <wp:anchor distT="0" distB="0" distL="114300" distR="114300" simplePos="0" relativeHeight="251736064" behindDoc="0" locked="0" layoutInCell="1" allowOverlap="1">
                        <wp:simplePos x="0" y="0"/>
                        <wp:positionH relativeFrom="column">
                          <wp:posOffset>6024245</wp:posOffset>
                        </wp:positionH>
                        <wp:positionV relativeFrom="paragraph">
                          <wp:posOffset>3858895</wp:posOffset>
                        </wp:positionV>
                        <wp:extent cx="10160" cy="8890"/>
                        <wp:effectExtent l="4445" t="1270" r="4445" b="0"/>
                        <wp:wrapNone/>
                        <wp:docPr id="673" name="Rectangle 6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889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7" o:spid="_x0000_s1026" style="position:absolute;margin-left:474.35pt;margin-top:303.85pt;width:.8pt;height:.7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Oc6GfgIAAPsEAAAOAAAAZHJzL2Uyb0RvYy54bWysVNuO0zAQfUfiHyy/d5OU9JJo09VulyKk AisWPsC1ncTCsY3tNu0i/p2x05Yu8IAQreTYnvHxmZkzvr7ZdxLtuHVCqwpnVylGXFHNhGoq/PnT ajTHyHmiGJFa8QofuMM3i5cvrntT8rFutWTcIgBRruxNhVvvTZkkjra8I+5KG67AWGvbEQ9L2yTM kh7QO5mM03Sa9NoyYzXlzsHu/WDEi4hf15z6D3XtuEeywsDNx9HGcRPGZHFNysYS0wp6pEH+gUVH hIJLz1D3xBO0teI3qE5Qq52u/RXVXaLrWlAeY4BosvSXaB5bYniMBZLjzDlN7v/B0ve7B4sEq/B0 9gojRToo0kdIG1GN5GiazUKKeuNK8Hw0DzYE6cxa0y8OKb1swY/fWqv7lhMGxLLgnzw7EBYOjqJN /04zwCdbr2O29rXtAiDkAe1jUQ7novC9RxQ2szSbQuUoWObzIlYsIeXppLHOv+G6Q2FSYQvMIzLZ rZ0PTEh5conMtRRsJaSMC9tsltKiHQFxLNPwj+QhwEs3qYKz0uHYgDjsAEG4I9gC1Vjsb0U2ztO7 cTFaTeezUb7KJ6Nils5HaVbcFdM0L/L71fdAMMvLVjDG1VoofhJelv9dYY8tMEgmSg/1FS4m40mM /Rl7dxlkGn9/CrITHvpQig6yfHYiZSjqa8UgbFJ6IuQwT57Tj1mGHJy+MStRAqHqg3o2mh1AAVZD kaCa8GLApNX2CaMeuq/C7uuWWI6RfKtARUWW56Fd4yKfzMawsJeWzaWFKApQFfYYDdOlH1p8a6xo Wrgpi4lR+haUV4sojKDKgdVRr9BhMYLjaxBa+HIdvX6+WYsfAAAA//8DAFBLAwQUAAYACAAAACEA E/K6K98AAAALAQAADwAAAGRycy9kb3ducmV2LnhtbEyPTU/DMAyG70j8h8hI3Fi6dXRraTpNSMAR bUOcs8a0ZY1TJelW/j3eCW7+ePT6cbmZbC/O6EPnSMF8loBAqp3pqFHwcXh5WIMIUZPRvSNU8IMB NtXtTakL4y60w/M+NoJDKBRaQRvjUEgZ6hatDjM3IPHuy3mrI7e+kcbrC4fbXi6SJJNWd8QXWj3g c4v1aT9aBfKQ+XhKl+n3LobF1o6vb+/1p1L3d9P2CUTEKf7BcNVndajY6ehGMkH0CvLlesWogixZ ccFE/pikII7XST4HWZXy/w/VLwAAAP//AwBQSwECLQAUAAYACAAAACEAtoM4kv4AAADhAQAAEwAA AAAAAAAAAAAAAAAAAAAAW0NvbnRlbnRfVHlwZXNdLnhtbFBLAQItABQABgAIAAAAIQA4/SH/1gAA AJQBAAALAAAAAAAAAAAAAAAAAC8BAABfcmVscy8ucmVsc1BLAQItABQABgAIAAAAIQAIOc6GfgIA APsEAAAOAAAAAAAAAAAAAAAAAC4CAABkcnMvZTJvRG9jLnhtbFBLAQItABQABgAIAAAAIQAT8ror 3wAAAAsBAAAPAAAAAAAAAAAAAAAAANgEAABkcnMvZG93bnJldi54bWxQSwUGAAAAAAQABADzAAAA 5AUAAAAA " fillcolor="silver" stroked="f"/>
                    </w:pict>
                  </mc:Fallback>
                </mc:AlternateContent>
                <mc:AlternateContent>
                  <mc:Choice Requires="wps">
                    <w:drawing>
                      <wp:anchor distT="0" distB="0" distL="114300" distR="114300" simplePos="0" relativeHeight="251735040" behindDoc="0" locked="0" layoutInCell="1" allowOverlap="1">
                        <wp:simplePos x="0" y="0"/>
                        <wp:positionH relativeFrom="column">
                          <wp:posOffset>6024245</wp:posOffset>
                        </wp:positionH>
                        <wp:positionV relativeFrom="paragraph">
                          <wp:posOffset>3858895</wp:posOffset>
                        </wp:positionV>
                        <wp:extent cx="635" cy="635"/>
                        <wp:effectExtent l="13970" t="10795" r="13970" b="7620"/>
                        <wp:wrapNone/>
                        <wp:docPr id="674" name="Line 6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6" o:spid="_x0000_s1026" style="position:absolute;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303.85pt" to="474.4pt,303.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ZsbQEwIAACcEAAAOAAAAZHJzL2Uyb0RvYy54bWysU82O2yAQvlfqOyDuie2s15u14qwqO+ll 24202wcggGNUDAhInKjqu3fASdq0l6qqLOGZYeabb35YPB17iQ7cOqFVhbNpihFXVDOhdhX+8rae zDFynihGpFa8wifu8NPy/bvFYEo+052WjFsEIMqVg6lw570pk8TRjvfETbXhCi5bbXviQbW7hFky AHovk1maFsmgLTNWU+4cWJvxEi8jftty6l/a1nGPZIWBm4+njec2nMlyQcqdJaYT9EyD/AOLnggF Sa9QDfEE7a34A6oX1GqnWz+luk902wrKYw1QTZb+Vs1rRwyPtUBznLm2yf0/WPr5sLFIsAoXDzlG ivQwpGehOCqyInRnMK4Ep1ptbKiPHtWredb0q0NK1x1ROx5Zvp0MBGYhIrkJCYozkGM7fNIMfMje 69iqY2v7AAlNQMc4kdN1IvzoEQVjcXePEQV7EAI2KS9hxjr/keseBaHCEjhHWHJ4dn50vbiELEqv hZRgJ6VUaAiZguy0FCzcRMXutrW06EBgW+o0fOekN25W7xWLSB0nbHWWPRFylIGkVAEPqgAuZ2lc h2+P6eNqvprnk3xWrCZ52jSTD+s6nxTr7OG+uWvqusm+B2pZXnaCMa4Cu8tqZvnfjf78SMalui7n tQfJLXrsK5C9/CPpOMYwuXEHtpqdNjb0NUwUtjE6n19OWPdf9ej1830vfwAAAP//AwBQSwMEFAAG AAgAAAAhAO2UlXvfAAAACwEAAA8AAABkcnMvZG93bnJldi54bWxMj0FPwzAMhe9I+w+RJ3FjCWVa S2k6IRAHxDhsA+3qNaGtaJyqydby7zFc4GY/Pz1/r1hPrhNnO4TWk4brhQJhqfKmpVrD2/7pKgMR IpLBzpPV8GUDrMvZRYG58SNt7XkXa8EhFHLU0MTY51KGqrEOw8L3lvj24QeHkdehlmbAkcNdJxOl VtJhS/yhwd4+NLb63J2cBjnWh1RtFCbvL/7xcPP8mmyWRuvL+XR/ByLaKf6Z4Qef0aFkpqM/kQmi 03C7zFK2aliplAd2sMJljr9KBrIs5P8O5TcAAAD//wMAUEsBAi0AFAAGAAgAAAAhALaDOJL+AAAA 4QEAABMAAAAAAAAAAAAAAAAAAAAAAFtDb250ZW50X1R5cGVzXS54bWxQSwECLQAUAAYACAAAACEA OP0h/9YAAACUAQAACwAAAAAAAAAAAAAAAAAvAQAAX3JlbHMvLnJlbHNQSwECLQAUAAYACAAAACEA mmbG0BMCAAAnBAAADgAAAAAAAAAAAAAAAAAuAgAAZHJzL2Uyb0RvYy54bWxQSwECLQAUAAYACAAA ACEA7ZSVe98AAAALAQAADwAAAAAAAAAAAAAAAABtBAAAZHJzL2Rvd25yZXYueG1sUEsFBgAAAAAE AAQA8wAAAHkFAAAAAA== " strokecolor="silver" strokeweight="0"/>
                    </w:pict>
                  </mc:Fallback>
                </mc:AlternateContent>
                <mc:AlternateContent>
                  <mc:Choice Requires="wps">
                    <w:drawing>
                      <wp:anchor distT="0" distB="0" distL="114300" distR="114300" simplePos="0" relativeHeight="251734016" behindDoc="0" locked="0" layoutInCell="1" allowOverlap="1">
                        <wp:simplePos x="0" y="0"/>
                        <wp:positionH relativeFrom="column">
                          <wp:posOffset>6024245</wp:posOffset>
                        </wp:positionH>
                        <wp:positionV relativeFrom="paragraph">
                          <wp:posOffset>3701415</wp:posOffset>
                        </wp:positionV>
                        <wp:extent cx="10160" cy="9525"/>
                        <wp:effectExtent l="4445" t="0" r="4445" b="3810"/>
                        <wp:wrapNone/>
                        <wp:docPr id="675" name="Rectangle 6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5" o:spid="_x0000_s1026" style="position:absolute;margin-left:474.35pt;margin-top:291.45pt;width:.8pt;height:.7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iAuYegIAAPsEAAAOAAAAZHJzL2Uyb0RvYy54bWysVNuO0zAQfUfiHyy/t0mq9JKo6Wq3pQip wIqFD3Btp7FwbGO7TQvi3xk7bekCDwjRSo7tGR+fmTnj+d2xlejArRNaVTgbphhxRTUTalfhTx/X gxlGzhPFiNSKV/jEHb5bvHwx70zJR7rRknGLAES5sjMVbrw3ZZI42vCWuKE2XIGx1rYlHpZ2lzBL OkBvZTJK00nSacuM1ZQ7B7ur3ogXEb+uOfXv69pxj2SFgZuPo43jNozJYk7KnSWmEfRMg/wDi5YI BZdeoVbEE7S34jeoVlCrna79kOo20XUtKI8xQDRZ+ks0Tw0xPMYCyXHmmib3/2Dpu8OjRYJVeDId Y6RIC0X6AGkjaic5mmTjkKLOuBI8n8yjDUE6s9H0s0NKLxvw4/fW6q7hhAGxLPgnzw6EhYOjaNu9 1Qzwyd7rmK1jbdsACHlAx1iU07Uo/OgRhc0szSZQOQqWYjyKdBJSXk4a6/xrrlsUJhW2wDwik8PG +cCElBeXyFxLwdZCyriwu+1SWnQgII5lGv6RPAR46yZVcFY6HOsR+x0gCHcEW6Aai/2tyEZ5+jAq BuvJbDrI1/l4UEzT2SDNiodikuZFvlp/DwSzvGwEY1xthOIX4WX53xX23AK9ZKL0UHfOTozrlr27 DTKNvz8F2QoPfShFW+HZ1YmUoaivFIOwSemJkP08eU4/ZhlycPnGrEQJhKr36tlqdgIFWA1FgmrC iwGTRtuvGHXQfRV2X/bEcozkGwUqKrI8D+0aF/l4OoKFvbVsby1EUYCqsMeony593+J7Y8WugZuy KAql70F5tYjCCKrsWZ31Ch0WIzi/BqGFb9fR6+ebtfgBAAD//wMAUEsDBBQABgAIAAAAIQAm6dAy 3wAAAAsBAAAPAAAAZHJzL2Rvd25yZXYueG1sTI/BbsIwDIbvk/YOkSdxGyltYW3XFCGkbccJmHYO jdcWGqdKUujefuHEjrY//f7+cj3pnl3Qus6QgMU8AoZUG9VRI+Dr8PacAXNekpK9IRTwiw7W1eND KQtlrrTDy943LISQK6SA1vuh4NzVLWrp5mZACrcfY7X0YbQNV1ZeQ7jueRxFK65lR+FDKwfctlif 96MWwA8r689Jmpx23sUbPb5/fNbfQsyeps0rMI+Tv8Nw0w/qUAWnoxlJOdYLyNPsJaACllmcAwtE vowSYMfbJk2BVyX/36H6AwAA//8DAFBLAQItABQABgAIAAAAIQC2gziS/gAAAOEBAAATAAAAAAAA AAAAAAAAAAAAAABbQ29udGVudF9UeXBlc10ueG1sUEsBAi0AFAAGAAgAAAAhADj9If/WAAAAlAEA AAsAAAAAAAAAAAAAAAAALwEAAF9yZWxzLy5yZWxzUEsBAi0AFAAGAAgAAAAhACCIC5h6AgAA+wQA AA4AAAAAAAAAAAAAAAAALgIAAGRycy9lMm9Eb2MueG1sUEsBAi0AFAAGAAgAAAAhACbp0DLfAAAA CwEAAA8AAAAAAAAAAAAAAAAA1AQAAGRycy9kb3ducmV2LnhtbFBLBQYAAAAABAAEAPMAAADgBQAA AAA= " fillcolor="silver" stroked="f"/>
                    </w:pict>
                  </mc:Fallback>
                </mc:AlternateContent>
                <mc:AlternateContent>
                  <mc:Choice Requires="wps">
                    <w:drawing>
                      <wp:anchor distT="0" distB="0" distL="114300" distR="114300" simplePos="0" relativeHeight="251732992" behindDoc="0" locked="0" layoutInCell="1" allowOverlap="1">
                        <wp:simplePos x="0" y="0"/>
                        <wp:positionH relativeFrom="column">
                          <wp:posOffset>6024245</wp:posOffset>
                        </wp:positionH>
                        <wp:positionV relativeFrom="paragraph">
                          <wp:posOffset>3701415</wp:posOffset>
                        </wp:positionV>
                        <wp:extent cx="635" cy="635"/>
                        <wp:effectExtent l="13970" t="5715" r="13970" b="12700"/>
                        <wp:wrapNone/>
                        <wp:docPr id="676" name="Line 6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4"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291.45pt" to="474.4pt,29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3sWEcEwIAACcEAAAOAAAAZHJzL2Uyb0RvYy54bWysU82O2yAQvlfqOyDuie2s15u14qwqO+ll 24202wcggGNUDAhInKjqu3fASdq0l6qqLOGZYeabb35YPB17iQ7cOqFVhbNpihFXVDOhdhX+8rae zDFynihGpFa8wifu8NPy/bvFYEo+052WjFsEIMqVg6lw570pk8TRjvfETbXhCi5bbXviQbW7hFky AHovk1maFsmgLTNWU+4cWJvxEi8jftty6l/a1nGPZIWBm4+njec2nMlyQcqdJaYT9EyD/AOLnggF Sa9QDfEE7a34A6oX1GqnWz+luk902wrKYw1QTZb+Vs1rRwyPtUBznLm2yf0/WPr5sLFIsAoXDwVG ivQwpGehOCqyPHRnMK4Ep1ptbKiPHtWredb0q0NK1x1ROx5Zvp0MBGYhIrkJCYozkGM7fNIMfMje 69iqY2v7AAlNQMc4kdN1IvzoEQVjcXePEQV7EAI2KS9hxjr/keseBaHCEjhHWHJ4dn50vbiELEqv hZRgJ6VUaAiZguy0FCzcRMXutrW06EBgW+o0fOekN25W7xWLSB0nbHWWPRFylIGkVAEPqgAuZ2lc h2+P6eNqvprnk3xWrCZ52jSTD+s6nxTr7OG+uWvqusm+B2pZXnaCMa4Cu8tqZvnfjf78SMalui7n tQfJLXrsK5C9/CPpOMYwuXEHtpqdNjb0NUwUtjE6n19OWPdf9ej1830vfwAAAP//AwBQSwMEFAAG AAgAAAAhABPyaK3fAAAACwEAAA8AAABkcnMvZG93bnJldi54bWxMjz1PwzAQhnck/oN1ldio3bTQ NMSpEIgBUQYKqKsbH0lEfI5it0n/fa8TjPfeo/cjX4+uFUfsQ+NJw2yqQCCV3jZUafj6fLlNQYRo yJrWE2o4YYB1cX2Vm8z6gT7wuI2VYBMKmdFQx9hlUoayRmfC1HdI/PvxvTORz76StjcDm7tWJkrd S2ca4oTadPhUY/m7PTgNcqh2S7VRJvl+88+7+et7sllYrW8m4+MDiIhj/IPhUp+rQ8Gd9v5ANohW w2qRLhnVcJcmKxBMsMJj9hdlrkAWufy/oTgDAAD//wMAUEsBAi0AFAAGAAgAAAAhALaDOJL+AAAA 4QEAABMAAAAAAAAAAAAAAAAAAAAAAFtDb250ZW50X1R5cGVzXS54bWxQSwECLQAUAAYACAAAACEA OP0h/9YAAACUAQAACwAAAAAAAAAAAAAAAAAvAQAAX3JlbHMvLnJlbHNQSwECLQAUAAYACAAAACEA N7FhHBMCAAAnBAAADgAAAAAAAAAAAAAAAAAuAgAAZHJzL2Uyb0RvYy54bWxQSwECLQAUAAYACAAA ACEAE/Jord8AAAALAQAADwAAAAAAAAAAAAAAAABtBAAAZHJzL2Rvd25yZXYueG1sUEsFBgAAAAAE AAQA8wAAAHkFAAAAAA== " strokecolor="silver" strokeweight="0"/>
                    </w:pict>
                  </mc:Fallback>
                </mc:AlternateContent>
                <mc:AlternateContent>
                  <mc:Choice Requires="wps">
                    <w:drawing>
                      <wp:anchor distT="0" distB="0" distL="114300" distR="114300" simplePos="0" relativeHeight="251731968" behindDoc="0" locked="0" layoutInCell="1" allowOverlap="1">
                        <wp:simplePos x="0" y="0"/>
                        <wp:positionH relativeFrom="column">
                          <wp:posOffset>6024245</wp:posOffset>
                        </wp:positionH>
                        <wp:positionV relativeFrom="paragraph">
                          <wp:posOffset>3544570</wp:posOffset>
                        </wp:positionV>
                        <wp:extent cx="10160" cy="9525"/>
                        <wp:effectExtent l="4445" t="1270" r="4445" b="0"/>
                        <wp:wrapNone/>
                        <wp:docPr id="677" name="Rectangle 6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3" o:spid="_x0000_s1026" style="position:absolute;margin-left:474.35pt;margin-top:279.1pt;width:.8pt;height:.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h0F3BegIAAPsEAAAOAAAAZHJzL2Uyb0RvYy54bWysVNuO0zAQfUfiHyy/t0lKeknUdLXbUoS0 wIqFD3Btp7FwbGO7TbuIf2fstKULPCBEKzm2Z3x8ZuaM5zeHVqI9t05oVeFsmGLEFdVMqG2FP39a D2YYOU8UI1IrXuEjd/hm8fLFvDMlH+lGS8YtAhDlys5UuPHelEniaMNb4obacAXGWtuWeFjabcIs 6QC9lckoTSdJpy0zVlPuHOyueiNeRPy65tR/qGvHPZIVBm4+jjaOmzAmizkpt5aYRtATDfIPLFoi FFx6gVoRT9DOit+gWkGtdrr2Q6rbRNe1oDzGANFk6S/RPDbE8BgLJMeZS5rc/4Ol7/cPFglW4cl0 ipEiLRTpI6SNqK3kaJK9CinqjCvB89E82BCkM/eafnFI6WUDfvzWWt01nDAglgX/5NmBsHBwFG26 d5oBPtl5HbN1qG0bACEP6BCLcrwUhR88orCZpdkEKkfBUoxH4whPyvNJY51/w3WLwqTCFphHZLK/ dz4wIeXZJTLXUrC1kDIu7HazlBbtCYhjmYb/Cd1du0kVnJUOx3rEfgcIwh3BFqjGYn8rslGe3o2K wXoymw7ydT4eFNN0Nkiz4q6YpHmRr9bfA8EsLxvBGFf3QvGz8LL87wp7aoFeMlF6qDtlJ8Z1zd5d B5nG35+CbIWHPpSirfDs4kTKUNTXikHYpPREyH6ePKcfsww5OH9jVqIEQtV79Ww0O4ICrIYiQTXh xYBJo+0TRh10X4Xd1x2xHCP5VoGKiizPQ7vGRT6ejmBhry2bawtRFKAq7DHqp0vft/jOWLFt4KYs ikLpW1BeLaIwgip7Vie9QofFCE6vQWjh63X0+vlmLX4AAAD//wMAUEsDBBQABgAIAAAAIQC7BsfI 3wAAAAsBAAAPAAAAZHJzL2Rvd25yZXYueG1sTI/BbsIwDIbvk/YOkSdxGykthbZrihDStuMETDuH xmsLjVMlKXRvv3DajrY//f7+cjPpnl3Rus6QgMU8AoZUG9VRI+Dz+PqcAXNekpK9IRTwgw421eND KQtlbrTH68E3LISQK6SA1vuh4NzVLWrp5mZACrdvY7X0YbQNV1beQrjueRxFK65lR+FDKwfctVhf DqMWwI8r6y/JMjnvvYu3enx7/6i/hJg9TdsXYB4n/wfDXT+oQxWcTmYk5VgvIF9m64AKSNMsBhaI PI0SYKf7Jl8Dr0r+v0P1CwAA//8DAFBLAQItABQABgAIAAAAIQC2gziS/gAAAOEBAAATAAAAAAAA AAAAAAAAAAAAAABbQ29udGVudF9UeXBlc10ueG1sUEsBAi0AFAAGAAgAAAAhADj9If/WAAAAlAEA AAsAAAAAAAAAAAAAAAAALwEAAF9yZWxzLy5yZWxzUEsBAi0AFAAGAAgAAAAhAGHQXcF6AgAA+wQA AA4AAAAAAAAAAAAAAAAALgIAAGRycy9lMm9Eb2MueG1sUEsBAi0AFAAGAAgAAAAhALsGx8jfAAAA CwEAAA8AAAAAAAAAAAAAAAAA1AQAAGRycy9kb3ducmV2LnhtbFBLBQYAAAAABAAEAPMAAADgBQAA AAA= " fillcolor="silver" stroked="f"/>
                    </w:pict>
                  </mc:Fallback>
                </mc:AlternateContent>
                <mc:AlternateContent>
                  <mc:Choice Requires="wps">
                    <w:drawing>
                      <wp:anchor distT="0" distB="0" distL="114300" distR="114300" simplePos="0" relativeHeight="251730944" behindDoc="0" locked="0" layoutInCell="1" allowOverlap="1">
                        <wp:simplePos x="0" y="0"/>
                        <wp:positionH relativeFrom="column">
                          <wp:posOffset>6024245</wp:posOffset>
                        </wp:positionH>
                        <wp:positionV relativeFrom="paragraph">
                          <wp:posOffset>3544570</wp:posOffset>
                        </wp:positionV>
                        <wp:extent cx="635" cy="635"/>
                        <wp:effectExtent l="13970" t="10795" r="13970" b="7620"/>
                        <wp:wrapNone/>
                        <wp:docPr id="678" name="Line 6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2" o:spid="_x0000_s1026" style="position:absolute;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279.1pt" to="474.4pt,279.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y/FJEwIAACcEAAAOAAAAZHJzL2Uyb0RvYy54bWysU82O2yAQvlfqOyDuie2sN5u14qwqO+ll 24202wcggGNUDAhInKjqu3fATtq0l6qqLOGZYeabb35YPp06iY7cOqFVibNpihFXVDOh9iX+8raZ LDBynihGpFa8xGfu8NPq/btlbwo+062WjFsEIMoVvSlx670pksTRlnfETbXhCi4bbTviQbX7hFnS A3onk1mazpNeW2asptw5sNbDJV5F/Kbh1L80jeMeyRIDNx9PG89dOJPVkhR7S0wr6EiD/AOLjggF Sa9QNfEEHaz4A6oT1GqnGz+lukt00wjKYw1QTZb+Vs1rSwyPtUBznLm2yf0/WPr5uLVIsBLPH2BU inQwpGehOJpns9Cd3rgCnCq1taE+elKv5lnTrw4pXbVE7Xlk+XY2EJiFiOQmJCjOQI5d/0kz8CEH r2OrTo3tAiQ0AZ3iRM7XifCTRxSM87t7jCjYgxCwSXEJM9b5j1x3KAgllsA5wpLjs/OD68UlZFF6 I6QEOymkQn3IFGSnpWDhJip2v6ukRUcC21Kl4RuT3rhZfVAsIrWcsPUoeyLkIANJqQIeVAFcRmlY h2+P6eN6sV7kk3w2X0/ytK4nHzZVPplvsof7+q6uqjr7HqhledEKxrgK7C6rmeV/N/rxkQxLdV3O aw+SW/TYVyB7+UfScYxhcsMO7DQ7b23oa5gobGN0Hl9OWPdf9ej1832vfgAAAP//AwBQSwMEFAAG AAgAAAAhAFuAXNPeAAAACwEAAA8AAABkcnMvZG93bnJldi54bWxMj01PwzAMhu9I/IfISNxYSrex UppOCMQBMQ4M0K5eY9qKxqmabC3/HsMFjn796P0o1pPr1JGG0Ho2cDlLQBFX3rZcG3h7fbjIQIWI bLHzTAa+KMC6PD0pMLd+5Bc6bmOtxIRDjgaaGPtc61A15DDMfE8svw8/OIxyDrW2A45i7jqdJsmV dtiyJDTY011D1ef24Azosd6tkk2C6fuTv9/NH5/TzcIac3423d6AijTFPxh+6kt1KKXT3h/YBtUZ uF5kK0ENLJdZCkoIUWTM/leZgy4L/X9D+Q0AAP//AwBQSwECLQAUAAYACAAAACEAtoM4kv4AAADh AQAAEwAAAAAAAAAAAAAAAAAAAAAAW0NvbnRlbnRfVHlwZXNdLnhtbFBLAQItABQABgAIAAAAIQA4 /SH/1gAAAJQBAAALAAAAAAAAAAAAAAAAAC8BAABfcmVscy8ucmVsc1BLAQItABQABgAIAAAAIQBE y/FJEwIAACcEAAAOAAAAAAAAAAAAAAAAAC4CAABkcnMvZTJvRG9jLnhtbFBLAQItABQABgAIAAAA IQBbgFzT3gAAAAsBAAAPAAAAAAAAAAAAAAAAAG0EAABkcnMvZG93bnJldi54bWxQSwUGAAAAAAQA BADzAAAAeAUAAAAA " strokecolor="silver" strokeweight="0"/>
                    </w:pict>
                  </mc:Fallback>
                </mc:AlternateContent>
                <mc:AlternateContent>
                  <mc:Choice Requires="wps">
                    <w:drawing>
                      <wp:anchor distT="0" distB="0" distL="114300" distR="114300" simplePos="0" relativeHeight="251729920" behindDoc="0" locked="0" layoutInCell="1" allowOverlap="1">
                        <wp:simplePos x="0" y="0"/>
                        <wp:positionH relativeFrom="column">
                          <wp:posOffset>6024245</wp:posOffset>
                        </wp:positionH>
                        <wp:positionV relativeFrom="paragraph">
                          <wp:posOffset>2722880</wp:posOffset>
                        </wp:positionV>
                        <wp:extent cx="10160" cy="9525"/>
                        <wp:effectExtent l="4445" t="0" r="4445" b="1270"/>
                        <wp:wrapNone/>
                        <wp:docPr id="679" name="Rectangle 6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 cy="952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1" o:spid="_x0000_s1026" style="position:absolute;margin-left:474.35pt;margin-top:214.4pt;width:.8pt;height:.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QDZTweQIAAPsEAAAOAAAAZHJzL2Uyb0RvYy54bWysVNuO0zAQfUfiHyy/t0mq9JKo6Wq3pQip wIqFD3Btp7FwbGO7TQvi3xk7bekCDwjRSo7HHh+fmTnj+d2xlejArRNaVTgbphhxRTUTalfhTx/X gxlGzhPFiNSKV/jEHb5bvHwx70zJR7rRknGLAES5sjMVbrw3ZZI42vCWuKE2XMFmrW1LPJh2lzBL OkBvZTJK00nSacuM1ZQ7B6urfhMvIn5dc+rf17XjHskKAzcfRxvHbRiTxZyUO0tMI+iZBvkHFi0R Ci69Qq2IJ2hvxW9QraBWO137IdVtoutaUB5jgGiy9JdonhpieIwFkuPMNU3u/8HSd4dHiwSr8GRa YKRIC0X6AGkjaic5mmRZSFFnXAmeT+bRhiCd2Wj62SGllw348XtrdddwwoBY9E+eHQiGg6No273V DPDJ3uuYrWNt2wAIeUDHWJTTtSj86BGFxSzNJlA5CjvFeDQOdBJSXk4a6/xrrlsUJhW2wDwik8PG +d714hKZaynYWkgZDbvbLqVFBwLiWKbhf0Z3t25SBWelw7EesV8BgnBH2AtUY7G/FdkoTx9GxWA9 mU0H+TofD4ppOhukWfFQTNK8yFfr74FglpeNYIyrjVD8Irws/7vCnlugl0yUHurO2Ylx3bJ3t0Gm 8fenIFvhoQ+laCs8uzqRMhT1lWIQNik9EbKfJ8/px4JADi7fmJUogVD1Xj1bzU6gAKuhSFBNeDFg 0mj7FaMOuq/C7sueWI6RfKNARUWW56Fdo5GPpyMw7O3O9naHKApQFfYY9dOl71t8b6zYNXBTFkWh 9D0orxZRGEGVPSvgHQzosBjB+TUILXxrR6+fb9biBwAAAP//AwBQSwMEFAAGAAgAAAAhAPOku6Pf AAAACwEAAA8AAABkcnMvZG93bnJldi54bWxMj0FPwzAMhe9I/IfISNxYSltGV5pOExJwRNsQ56wx bVnjVEm6lX+POY2b7ff0/L1qPdtBnNCH3pGC+0UCAqlxpqdWwcf+5a4AEaImowdHqOAHA6zr66tK l8adaYunXWwFh1AotYIuxrGUMjQdWh0WbkRi7ct5qyOvvpXG6zOH20GmSbKUVvfEHzo94nOHzXE3 WQVyv/TxmOXZ9zaGdGOn17f35lOp25t58wQi4hwvZvjDZ3SomengJjJBDApWefHIVgV5WnAHdqwe kgzEgS8ZD7Ku5P8O9S8AAAD//wMAUEsBAi0AFAAGAAgAAAAhALaDOJL+AAAA4QEAABMAAAAAAAAA AAAAAAAAAAAAAFtDb250ZW50X1R5cGVzXS54bWxQSwECLQAUAAYACAAAACEAOP0h/9YAAACUAQAA CwAAAAAAAAAAAAAAAAAvAQAAX3JlbHMvLnJlbHNQSwECLQAUAAYACAAAACEAkA2U8HkCAAD7BAAA DgAAAAAAAAAAAAAAAAAuAgAAZHJzL2Uyb0RvYy54bWxQSwECLQAUAAYACAAAACEA86S7o98AAAAL AQAADwAAAAAAAAAAAAAAAADTBAAAZHJzL2Rvd25yZXYueG1sUEsFBgAAAAAEAAQA8wAAAN8FAAAA AA== " fillcolor="silver" stroked="f"/>
                    </w:pict>
                  </mc:Fallback>
                </mc:AlternateContent>
                <mc:AlternateContent>
                  <mc:Choice Requires="wps">
                    <w:drawing>
                      <wp:anchor distT="0" distB="0" distL="114300" distR="114300" simplePos="0" relativeHeight="251728896" behindDoc="0" locked="0" layoutInCell="1" allowOverlap="1">
                        <wp:simplePos x="0" y="0"/>
                        <wp:positionH relativeFrom="column">
                          <wp:posOffset>6024245</wp:posOffset>
                        </wp:positionH>
                        <wp:positionV relativeFrom="paragraph">
                          <wp:posOffset>2722880</wp:posOffset>
                        </wp:positionV>
                        <wp:extent cx="635" cy="635"/>
                        <wp:effectExtent l="13970" t="8255" r="13970" b="10160"/>
                        <wp:wrapNone/>
                        <wp:docPr id="680" name="Line 6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0" o:spid="_x0000_s1026" style="position:absolute;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4.35pt,214.4pt" to="474.4pt,214.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KcJ+cEQIAACcEAAAOAAAAZHJzL2Uyb0RvYy54bWysU8GO2yAQvVfqPyDuie2s181acVaVnfSS tpF2+wEEcIyKAQGJE1X99w7ESZv2UlWVJTwDw5s3b4bF86mX6MitE1pVOJumGHFFNRNqX+Evr+vJ HCPniWJEasUrfOYOPy/fvlkMpuQz3WnJuEUAolw5mAp33psySRzteE/cVBuu4LDVticeXLtPmCUD oPcymaVpkQzaMmM15c7BbnM5xMuI37ac+s9t67hHssLAzcfVxnUX1mS5IOXeEtMJOtIg/8CiJ0JB 0htUQzxBByv+gOoFtdrp1k+p7hPdtoLyWANUk6W/VfPSEcNjLSCOMzeZ3P+DpZ+OW4sEq3AxB30U 6aFJG6E4KrKozmBcCUG12tpQHz2pF7PR9KtDStcdUXseWb6eDVzMgp7J3ZXgOAM5dsNHzSCGHLyO Up1a2wdIEAGdYkfOt47wk0cUNouHR4wo7AcjYJPyes1Y5z9w3aNgVFgC5whLjhvnL6HXkJBF6bWQ MrZbKjSETGHbaSlYOImO3e9qadGRwLTUafjGpHdhVh8Ui0gdJ2w12p4IebGBpFQBD6oALqN1GYdv T+nTar6a55N8Vqwmedo0k/frOp8U6+zdY/PQ1HWTfQ/UsrzsBGNcBXbX0czyv2v9+EguQ3UbzpsG yT161BXIXv+RdGxj6Fx4S67caXbe2qBr8GAaY/D4csK4/+rHqJ/ve/kDAAD//wMAUEsDBBQABgAI AAAAIQDvWjtL3gAAAAsBAAAPAAAAZHJzL2Rvd25yZXYueG1sTI9BT8MwDIXvSPyHyEjcWEqpWFea TgjEATEODNCuXmPaisapmmwt/x7DBW7289Pz98r17Hp1pDF0ng1cLhJQxLW3HTcG3l4fLnJQISJb 7D2TgS8KsK5OT0osrJ/4hY7b2CgJ4VCggTbGodA61C05DAs/EMvtw48Oo6xjo+2Ik4S7XqdJcq0d diwfWhzorqX6c3twBvTU7JbJJsH0/cnf764en9NNZo05P5tvb0BFmuOfGX7wBR0qYdr7A9ugegOr LF+K1UCW5tJBHKLIsP9VVqCrUv/vUH0DAAD//wMAUEsBAi0AFAAGAAgAAAAhALaDOJL+AAAA4QEA ABMAAAAAAAAAAAAAAAAAAAAAAFtDb250ZW50X1R5cGVzXS54bWxQSwECLQAUAAYACAAAACEAOP0h /9YAAACUAQAACwAAAAAAAAAAAAAAAAAvAQAAX3JlbHMvLnJlbHNQSwECLQAUAAYACAAAACEAynCf nBECAAAnBAAADgAAAAAAAAAAAAAAAAAuAgAAZHJzL2Uyb0RvYy54bWxQSwECLQAUAAYACAAAACEA 71o7S94AAAALAQAADwAAAAAAAAAAAAAAAABrBAAAZHJzL2Rvd25yZXYueG1sUEsFBgAAAAAEAAQA 8wAAAHYFAAAAAA== " strokecolor="silver" strokeweight="0"/>
                    </w:pict>
                  </mc:Fallback>
                </mc:AlternateContent>
              </w:r>
            </w:p>
          </w:sdtContent>
        </w:sdt>
        <w:sdt>
          <w:sdtPr>
            <w:alias w:val="pabaiga"/>
            <w:tag w:val="part_8110287b86a14aa2988110b57672c94e"/>
            <w:lock w:val="sdtLocked"/>
            <w:richText/>
          </w:sdtPr>
          <w:sdtContent>
            <w:p>
              <w:pPr>
                <w:widowControl w:val="0"/>
                <w:ind w:left="108" w:right="95"/>
                <w:jc w:val="center"/>
              </w:pPr>
              <w:r>
                <w:t>___________________</w:t>
              </w:r>
            </w:p>
          </w:sdtContent>
        </w:sdt>
      </w:sdtContent>
    </w:sdt>
    <w:sdt>
      <w:sdtPr>
        <w:alias w:val="pr."/>
        <w:tag w:val="part_e6ce34ee2f444c74bb0de0511d11e7cd"/>
        <w:lock w:val="sdtLocked"/>
        <w:richText/>
      </w:sdtPr>
      <w:sdtContent>
        <w:p>
          <w:pPr>
            <w:widowControl w:val="0"/>
            <w:ind w:left="108" w:right="95"/>
            <w:sectPr>
              <w:headerReference w:type="default" r:id="rId22"/>
              <w:headerReference w:type="first" r:id="rId23"/>
              <w:footerReference w:type="first" r:id="rId24"/>
              <w:pgSz w:w="11907" w:h="16840" w:code="9"/>
              <w:pgMar w:top="1134" w:right="567" w:bottom="1134" w:left="1701" w:header="567" w:footer="567" w:gutter="0"/>
              <w:pgNumType w:start="1"/>
              <w:cols w:space="1296"/>
              <w:titlePg/>
              <w:docGrid w:linePitch="326"/>
            </w:sectPr>
          </w:pPr>
        </w:p>
        <w:tbl>
          <w:tblPr>
            <w:tblW w:w="9449" w:type="dxa"/>
            <w:tblInd w:w="90" w:type="dxa"/>
            <w:tblLayout w:type="fixed"/>
            <w:tblCellMar>
              <w:left w:w="0" w:type="dxa"/>
              <w:right w:w="0" w:type="dxa"/>
            </w:tblCellMar>
            <w:tblLook w:val="0000" w:firstRow="0" w:lastRow="0" w:firstColumn="0" w:lastColumn="0" w:noHBand="0" w:noVBand="0"/>
          </w:tblPr>
          <w:tblGrid>
            <w:gridCol w:w="3929"/>
            <w:gridCol w:w="1723"/>
            <w:gridCol w:w="3797"/>
          </w:tblGrid>
          <w:tr>
            <w:tc>
              <w:tcPr>
                <w:tcW w:w="3929" w:type="dxa"/>
                <w:tcBorders>
                  <w:top w:val="nil"/>
                  <w:left w:val="nil"/>
                  <w:bottom w:val="nil"/>
                  <w:right w:val="nil"/>
                </w:tcBorders>
                <w:shd w:val="clear" w:color="auto" w:fill="FFFFFF"/>
                <w:vAlign w:val="bottom"/>
              </w:tcPr>
              <w:p>
                <w:pPr>
                  <w:tabs>
                    <w:tab w:val="center" w:pos="4680"/>
                    <w:tab w:val="right" w:pos="9360"/>
                  </w:tabs>
                  <w:rPr>
                    <w:sz w:val="22"/>
                    <w:szCs w:val="22"/>
                    <w:lang w:eastAsia="lt-LT"/>
                  </w:rPr>
                </w:pPr>
              </w:p>
              <w:p>
                <w:pPr>
                  <w:widowControl w:val="0"/>
                  <w:ind w:left="108" w:right="95"/>
                  <w:jc w:val="both"/>
                  <w:rPr>
                    <w:rFonts w:ascii="Arial" w:hAnsi="Arial" w:cs="Arial"/>
                  </w:rPr>
                </w:pPr>
              </w:p>
            </w:tc>
            <w:tc>
              <w:tcPr>
                <w:tcW w:w="5520" w:type="dxa"/>
                <w:gridSpan w:val="2"/>
                <w:tcBorders>
                  <w:top w:val="nil"/>
                  <w:left w:val="nil"/>
                  <w:bottom w:val="nil"/>
                  <w:right w:val="nil"/>
                </w:tcBorders>
                <w:shd w:val="clear" w:color="auto" w:fill="FFFFFF"/>
                <w:vAlign w:val="bottom"/>
              </w:tcPr>
              <w:p>
                <w:pPr>
                  <w:widowControl w:val="0"/>
                  <w:ind w:right="88" w:firstLine="2520"/>
                  <w:rPr>
                    <w:rFonts w:ascii="Arial" w:hAnsi="Arial" w:cs="Arial"/>
                  </w:rPr>
                </w:pPr>
                <w:r>
                  <w:rPr>
                    <w:color w:val="000000"/>
                  </w:rPr>
                  <w:t>Mokestinės paskolos sutarties</w:t>
                </w:r>
              </w:p>
            </w:tc>
          </w:tr>
          <w:tr>
            <w:tc>
              <w:tcPr>
                <w:tcW w:w="5652" w:type="dxa"/>
                <w:gridSpan w:val="2"/>
                <w:tcBorders>
                  <w:top w:val="nil"/>
                  <w:left w:val="nil"/>
                  <w:bottom w:val="nil"/>
                  <w:right w:val="nil"/>
                </w:tcBorders>
                <w:shd w:val="clear" w:color="auto" w:fill="FFFFFF"/>
                <w:vAlign w:val="bottom"/>
              </w:tcPr>
              <w:p>
                <w:pPr>
                  <w:widowControl w:val="0"/>
                  <w:ind w:left="108" w:right="95"/>
                  <w:jc w:val="both"/>
                  <w:rPr>
                    <w:rFonts w:ascii="Arial" w:hAnsi="Arial" w:cs="Arial"/>
                  </w:rPr>
                </w:pPr>
              </w:p>
            </w:tc>
            <w:tc>
              <w:tcPr>
                <w:tcW w:w="3797" w:type="dxa"/>
                <w:tcBorders>
                  <w:top w:val="nil"/>
                  <w:left w:val="nil"/>
                  <w:bottom w:val="nil"/>
                  <w:right w:val="nil"/>
                </w:tcBorders>
                <w:shd w:val="clear" w:color="auto" w:fill="FFFFFF"/>
                <w:vAlign w:val="bottom"/>
              </w:tcPr>
              <w:p>
                <w:pPr>
                  <w:widowControl w:val="0"/>
                  <w:ind w:right="88" w:firstLine="795"/>
                  <w:rPr>
                    <w:bCs/>
                    <w:szCs w:val="24"/>
                  </w:rPr>
                </w:pPr>
                <w:r>
                  <w:rPr>
                    <w:bCs/>
                    <w:szCs w:val="24"/>
                  </w:rPr>
                  <w:t>FR0284 formos</w:t>
                </w:r>
              </w:p>
              <w:p>
                <w:pPr>
                  <w:widowControl w:val="0"/>
                  <w:ind w:right="88" w:firstLine="795"/>
                  <w:rPr>
                    <w:color w:val="000000"/>
                  </w:rPr>
                </w:pPr>
                <w:r>
                  <w:rPr>
                    <w:color w:val="000000"/>
                  </w:rPr>
                  <w:t>priedas</w:t>
                </w:r>
              </w:p>
              <w:p>
                <w:pPr>
                  <w:widowControl w:val="0"/>
                  <w:ind w:right="88"/>
                  <w:rPr>
                    <w:rFonts w:ascii="Arial" w:hAnsi="Arial" w:cs="Arial"/>
                  </w:rPr>
                </w:pPr>
              </w:p>
            </w:tc>
          </w:tr>
          <w:tr>
            <w:tc>
              <w:tcPr>
                <w:tcW w:w="9449" w:type="dxa"/>
                <w:gridSpan w:val="3"/>
                <w:tcBorders>
                  <w:top w:val="nil"/>
                  <w:left w:val="nil"/>
                  <w:bottom w:val="nil"/>
                  <w:right w:val="nil"/>
                </w:tcBorders>
                <w:shd w:val="clear" w:color="auto" w:fill="FFFFFF"/>
                <w:vAlign w:val="bottom"/>
              </w:tcPr>
              <w:p>
                <w:pPr>
                  <w:widowControl w:val="0"/>
                  <w:ind w:left="108" w:right="108"/>
                  <w:jc w:val="center"/>
                  <w:rPr>
                    <w:b/>
                  </w:rPr>
                </w:pPr>
                <w:r>
                  <w:rPr>
                    <w:b/>
                  </w:rPr>
                  <w:t>(Mokestinės nepriemokos / baudos už administracinį nusižengimą ir palūkanų mokėjimo grafiko forma)</w:t>
                </w:r>
              </w:p>
            </w:tc>
          </w:tr>
          <w:tr>
            <w:tc>
              <w:tcPr>
                <w:tcW w:w="9449" w:type="dxa"/>
                <w:gridSpan w:val="3"/>
                <w:tcBorders>
                  <w:top w:val="nil"/>
                  <w:left w:val="nil"/>
                  <w:bottom w:val="nil"/>
                  <w:right w:val="nil"/>
                </w:tcBorders>
                <w:shd w:val="clear" w:color="auto" w:fill="FFFFFF"/>
                <w:vAlign w:val="center"/>
              </w:tcPr>
              <w:p>
                <w:pPr>
                  <w:widowControl w:val="0"/>
                  <w:ind w:left="216" w:right="216"/>
                  <w:jc w:val="center"/>
                  <w:rPr>
                    <w:b/>
                    <w:bCs/>
                    <w:color w:val="000000"/>
                  </w:rPr>
                </w:pPr>
              </w:p>
              <w:p>
                <w:pPr>
                  <w:widowControl w:val="0"/>
                  <w:ind w:left="216" w:right="216"/>
                  <w:jc w:val="center"/>
                  <w:rPr>
                    <w:rFonts w:ascii="Arial" w:hAnsi="Arial" w:cs="Arial"/>
                  </w:rPr>
                </w:pPr>
                <w:r>
                  <w:rPr>
                    <w:b/>
                    <w:bCs/>
                    <w:color w:val="000000"/>
                  </w:rPr>
                  <w:t>MOKESTINĖS NEPRIEMOKOS / BAUDOS UŽ ADMINISTRACINĮ NUSIŽENGIMĄ IR PALŪKANŲ MOKĖJIMO GRAFIKAS</w:t>
                </w:r>
              </w:p>
            </w:tc>
          </w:tr>
          <w:tr>
            <w:tc>
              <w:tcPr>
                <w:tcW w:w="9449" w:type="dxa"/>
                <w:gridSpan w:val="3"/>
                <w:tcBorders>
                  <w:top w:val="nil"/>
                  <w:left w:val="nil"/>
                  <w:bottom w:val="nil"/>
                  <w:right w:val="nil"/>
                </w:tcBorders>
                <w:shd w:val="clear" w:color="auto" w:fill="FFFFFF"/>
                <w:vAlign w:val="center"/>
              </w:tcPr>
              <w:p>
                <w:pPr>
                  <w:widowControl w:val="0"/>
                  <w:ind w:left="108" w:right="108"/>
                  <w:jc w:val="both"/>
                  <w:rPr>
                    <w:rFonts w:ascii="Arial" w:hAnsi="Arial" w:cs="Arial"/>
                  </w:rPr>
                </w:pPr>
              </w:p>
            </w:tc>
          </w:tr>
          <w:tr>
            <w:tc>
              <w:tcPr>
                <w:tcW w:w="9449" w:type="dxa"/>
                <w:gridSpan w:val="3"/>
                <w:tcBorders>
                  <w:top w:val="nil"/>
                  <w:left w:val="nil"/>
                  <w:bottom w:val="nil"/>
                  <w:right w:val="nil"/>
                </w:tcBorders>
                <w:shd w:val="clear" w:color="auto" w:fill="FFFFFF"/>
                <w:vAlign w:val="center"/>
              </w:tcPr>
              <w:p>
                <w:pPr>
                  <w:widowControl w:val="0"/>
                  <w:ind w:left="108" w:right="108"/>
                  <w:rPr>
                    <w:rFonts w:ascii="Arial" w:hAnsi="Arial" w:cs="Arial"/>
                  </w:rPr>
                </w:pPr>
                <w:r>
                  <w:rPr>
                    <w:color w:val="000000"/>
                  </w:rPr>
                  <w:t>Prie 20..... m. .......................... d. Mokestinės paskolos sutarties Nr. ........................</w:t>
                </w:r>
              </w:p>
            </w:tc>
          </w:tr>
          <w:tr>
            <w:tc>
              <w:tcPr>
                <w:tcW w:w="9449" w:type="dxa"/>
                <w:gridSpan w:val="3"/>
                <w:tcBorders>
                  <w:top w:val="nil"/>
                  <w:left w:val="nil"/>
                  <w:bottom w:val="nil"/>
                  <w:right w:val="nil"/>
                </w:tcBorders>
                <w:shd w:val="clear" w:color="auto" w:fill="FFFFFF"/>
                <w:vAlign w:val="center"/>
              </w:tcPr>
              <w:p>
                <w:pPr>
                  <w:widowControl w:val="0"/>
                  <w:ind w:left="108" w:right="108"/>
                  <w:rPr>
                    <w:rFonts w:ascii="Arial" w:hAnsi="Arial" w:cs="Arial"/>
                  </w:rPr>
                </w:pPr>
              </w:p>
            </w:tc>
          </w:tr>
          <w:tr>
            <w:tc>
              <w:tcPr>
                <w:tcW w:w="9449" w:type="dxa"/>
                <w:gridSpan w:val="3"/>
                <w:tcBorders>
                  <w:top w:val="nil"/>
                  <w:left w:val="nil"/>
                  <w:bottom w:val="nil"/>
                  <w:right w:val="nil"/>
                </w:tcBorders>
                <w:shd w:val="clear" w:color="auto" w:fill="FFFFFF"/>
                <w:vAlign w:val="center"/>
              </w:tcPr>
              <w:p>
                <w:pPr>
                  <w:widowControl w:val="0"/>
                  <w:ind w:left="108" w:right="108"/>
                  <w:rPr>
                    <w:rFonts w:ascii="Arial" w:hAnsi="Arial" w:cs="Arial"/>
                  </w:rPr>
                </w:pPr>
                <w:r>
                  <w:rPr>
                    <w:color w:val="000000"/>
                  </w:rPr>
                  <w:t>Keičiamoji 20..... m. .......................... d. Mokestinės paskolos sutartis Nr. ...............</w:t>
                </w:r>
              </w:p>
            </w:tc>
          </w:tr>
          <w:tr>
            <w:tc>
              <w:tcPr>
                <w:tcW w:w="9449" w:type="dxa"/>
                <w:gridSpan w:val="3"/>
                <w:tcBorders>
                  <w:top w:val="nil"/>
                  <w:left w:val="nil"/>
                  <w:bottom w:val="nil"/>
                  <w:right w:val="nil"/>
                </w:tcBorders>
                <w:shd w:val="clear" w:color="auto" w:fill="FFFFFF"/>
                <w:vAlign w:val="center"/>
              </w:tcPr>
              <w:p>
                <w:pPr>
                  <w:widowControl w:val="0"/>
                  <w:rPr>
                    <w:rFonts w:ascii="Arial" w:hAnsi="Arial" w:cs="Arial"/>
                  </w:rPr>
                </w:pPr>
              </w:p>
            </w:tc>
          </w:tr>
          <w:tr>
            <w:tc>
              <w:tcPr>
                <w:tcW w:w="9449" w:type="dxa"/>
                <w:gridSpan w:val="3"/>
                <w:tcBorders>
                  <w:top w:val="nil"/>
                  <w:left w:val="nil"/>
                  <w:bottom w:val="nil"/>
                  <w:right w:val="nil"/>
                </w:tcBorders>
                <w:shd w:val="clear" w:color="auto" w:fill="FFFFFF"/>
                <w:vAlign w:val="bottom"/>
              </w:tcPr>
              <w:p>
                <w:pPr>
                  <w:widowControl w:val="0"/>
                  <w:ind w:left="108" w:right="108"/>
                  <w:rPr>
                    <w:rFonts w:ascii="Arial" w:hAnsi="Arial" w:cs="Arial"/>
                  </w:rPr>
                </w:pPr>
                <w:r>
                  <w:rPr>
                    <w:color w:val="000000"/>
                  </w:rPr>
                  <w:t xml:space="preserve">Išdėstymo / atidėjimo laikotarpis: nuo  .............................. iki ..................................</w:t>
                </w:r>
              </w:p>
            </w:tc>
          </w:tr>
          <w:tr>
            <w:tc>
              <w:tcPr>
                <w:tcW w:w="3929" w:type="dxa"/>
                <w:tcBorders>
                  <w:top w:val="nil"/>
                  <w:left w:val="nil"/>
                  <w:bottom w:val="nil"/>
                  <w:right w:val="nil"/>
                </w:tcBorders>
                <w:shd w:val="clear" w:color="auto" w:fill="FFFFFF"/>
              </w:tcPr>
              <w:p>
                <w:pPr>
                  <w:widowControl w:val="0"/>
                  <w:ind w:left="108" w:right="95"/>
                  <w:rPr>
                    <w:color w:val="000000"/>
                    <w:sz w:val="16"/>
                    <w:szCs w:val="16"/>
                  </w:rPr>
                </w:pPr>
              </w:p>
            </w:tc>
            <w:tc>
              <w:tcPr>
                <w:tcW w:w="5520" w:type="dxa"/>
                <w:gridSpan w:val="2"/>
                <w:tcBorders>
                  <w:top w:val="nil"/>
                  <w:left w:val="nil"/>
                  <w:bottom w:val="nil"/>
                  <w:right w:val="nil"/>
                </w:tcBorders>
                <w:shd w:val="clear" w:color="auto" w:fill="FFFFFF"/>
              </w:tcPr>
              <w:p>
                <w:pPr>
                  <w:widowControl w:val="0"/>
                  <w:ind w:right="88"/>
                  <w:rPr>
                    <w:color w:val="000000"/>
                    <w:sz w:val="16"/>
                    <w:szCs w:val="16"/>
                  </w:rPr>
                </w:pPr>
                <w:r>
                  <w:rPr>
                    <w:color w:val="000000"/>
                    <w:sz w:val="16"/>
                    <w:szCs w:val="16"/>
                    <w:lang w:val="en-US"/>
                  </w:rPr>
                  <w:t>(</w:t>
                </w:r>
                <w:r>
                  <w:rPr>
                    <w:color w:val="000000"/>
                    <w:sz w:val="16"/>
                    <w:szCs w:val="16"/>
                  </w:rPr>
                  <w:t xml:space="preserve">metai, mėnuo, diena)                       (metai, mėnuo, diena)</w:t>
                </w:r>
              </w:p>
            </w:tc>
          </w:tr>
        </w:tbl>
        <w:p>
          <w:pPr>
            <w:widowControl w:val="0"/>
            <w:ind w:left="121" w:right="108"/>
            <w:rPr>
              <w:color w:val="000000"/>
            </w:rPr>
          </w:pPr>
        </w:p>
        <w:tbl>
          <w:tblPr>
            <w:tblW w:w="9504" w:type="dxa"/>
            <w:tblInd w:w="121" w:type="dxa"/>
            <w:tblLayout w:type="fixed"/>
            <w:tblCellMar>
              <w:left w:w="0" w:type="dxa"/>
              <w:right w:w="0" w:type="dxa"/>
            </w:tblCellMar>
            <w:tblLook w:val="0000" w:firstRow="0" w:lastRow="0" w:firstColumn="0" w:lastColumn="0" w:noHBand="0" w:noVBand="0"/>
          </w:tblPr>
          <w:tblGrid>
            <w:gridCol w:w="850"/>
            <w:gridCol w:w="2295"/>
            <w:gridCol w:w="2409"/>
            <w:gridCol w:w="3950"/>
          </w:tblGrid>
          <w:tr>
            <w:trPr>
              <w:cantSplit/>
              <w:tblHeader/>
            </w:trPr>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pPr>
                  <w:keepLines/>
                  <w:widowControl w:val="0"/>
                  <w:ind w:left="108" w:right="98"/>
                  <w:jc w:val="center"/>
                  <w:rPr>
                    <w:rFonts w:ascii="Arial" w:hAnsi="Arial" w:cs="Arial"/>
                  </w:rPr>
                </w:pPr>
                <w:r>
                  <w:rPr>
                    <w:bCs/>
                    <w:color w:val="000000"/>
                  </w:rPr>
                  <w:t>Eil.</w:t>
                </w:r>
              </w:p>
              <w:p>
                <w:pPr>
                  <w:keepLines/>
                  <w:widowControl w:val="0"/>
                  <w:ind w:left="108" w:right="98"/>
                  <w:jc w:val="center"/>
                  <w:rPr>
                    <w:rFonts w:ascii="Arial" w:hAnsi="Arial" w:cs="Arial"/>
                  </w:rPr>
                </w:pPr>
                <w:r>
                  <w:rPr>
                    <w:bCs/>
                    <w:color w:val="000000"/>
                  </w:rPr>
                  <w:t>Nr.</w:t>
                </w:r>
              </w:p>
            </w:tc>
            <w:tc>
              <w:tcPr>
                <w:tcW w:w="2295" w:type="dxa"/>
                <w:tcBorders>
                  <w:top w:val="single" w:sz="4" w:space="0" w:color="000000"/>
                  <w:left w:val="nil"/>
                  <w:bottom w:val="single" w:sz="4" w:space="0" w:color="000000"/>
                  <w:right w:val="single" w:sz="4" w:space="0" w:color="000000"/>
                </w:tcBorders>
                <w:shd w:val="clear" w:color="auto" w:fill="FFFFFF"/>
                <w:vAlign w:val="center"/>
              </w:tcPr>
              <w:p>
                <w:pPr>
                  <w:keepLines/>
                  <w:widowControl w:val="0"/>
                  <w:ind w:left="118" w:right="90"/>
                  <w:jc w:val="center"/>
                  <w:rPr>
                    <w:rFonts w:ascii="Arial" w:hAnsi="Arial" w:cs="Arial"/>
                    <w:lang w:val="en-US"/>
                  </w:rPr>
                </w:pPr>
                <w:r>
                  <w:rPr>
                    <w:bCs/>
                    <w:color w:val="000000"/>
                  </w:rPr>
                  <w:t xml:space="preserve">Palūkanų mokėjimo terminas </w:t>
                </w:r>
              </w:p>
            </w:tc>
            <w:tc>
              <w:tcPr>
                <w:tcW w:w="2409" w:type="dxa"/>
                <w:tcBorders>
                  <w:top w:val="single" w:sz="4" w:space="0" w:color="000000"/>
                  <w:left w:val="nil"/>
                  <w:bottom w:val="single" w:sz="4" w:space="0" w:color="000000"/>
                  <w:right w:val="single" w:sz="4" w:space="0" w:color="000000"/>
                </w:tcBorders>
                <w:shd w:val="clear" w:color="auto" w:fill="FFFFFF"/>
                <w:vAlign w:val="center"/>
              </w:tcPr>
              <w:p>
                <w:pPr>
                  <w:keepLines/>
                  <w:widowControl w:val="0"/>
                  <w:ind w:left="126" w:right="82"/>
                  <w:jc w:val="center"/>
                  <w:rPr>
                    <w:rFonts w:ascii="Arial" w:hAnsi="Arial" w:cs="Arial"/>
                  </w:rPr>
                </w:pPr>
                <w:r>
                  <w:rPr>
                    <w:bCs/>
                    <w:color w:val="000000"/>
                  </w:rPr>
                  <w:t>Įmokų mokėjimo terminas</w:t>
                </w:r>
              </w:p>
            </w:tc>
            <w:tc>
              <w:tcPr>
                <w:tcW w:w="3950" w:type="dxa"/>
                <w:tcBorders>
                  <w:top w:val="single" w:sz="4" w:space="0" w:color="000000"/>
                  <w:left w:val="nil"/>
                  <w:bottom w:val="single" w:sz="4" w:space="0" w:color="000000"/>
                  <w:right w:val="single" w:sz="4" w:space="0" w:color="000000"/>
                </w:tcBorders>
                <w:shd w:val="clear" w:color="auto" w:fill="FFFFFF"/>
                <w:vAlign w:val="center"/>
              </w:tcPr>
              <w:p>
                <w:pPr>
                  <w:keepLines/>
                  <w:widowControl w:val="0"/>
                  <w:ind w:left="114" w:right="94"/>
                  <w:jc w:val="center"/>
                  <w:rPr>
                    <w:rFonts w:ascii="Arial" w:hAnsi="Arial" w:cs="Arial"/>
                  </w:rPr>
                </w:pPr>
                <w:r>
                  <w:rPr>
                    <w:bCs/>
                    <w:color w:val="000000"/>
                  </w:rPr>
                  <w:t>Pagal grafiką mokėtina įmokų suma (Eur)</w:t>
                </w: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1.</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2.</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3.</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4.</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5.</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6.</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7.</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8.</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9.</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08" w:right="98"/>
                  <w:rPr>
                    <w:rFonts w:ascii="Arial" w:hAnsi="Arial" w:cs="Arial"/>
                  </w:rPr>
                </w:pPr>
                <w:r>
                  <w:rPr>
                    <w:color w:val="000000"/>
                  </w:rPr>
                  <w:t>10.</w:t>
                </w:r>
              </w:p>
            </w:tc>
            <w:tc>
              <w:tcPr>
                <w:tcW w:w="2295" w:type="dxa"/>
                <w:tcBorders>
                  <w:top w:val="nil"/>
                  <w:left w:val="nil"/>
                  <w:bottom w:val="single" w:sz="4" w:space="0" w:color="000000"/>
                  <w:right w:val="single" w:sz="4" w:space="0" w:color="000000"/>
                </w:tcBorders>
                <w:shd w:val="clear" w:color="auto" w:fill="FFFFFF"/>
                <w:vAlign w:val="center"/>
              </w:tcPr>
              <w:p>
                <w:pPr>
                  <w:widowControl w:val="0"/>
                  <w:ind w:left="118" w:right="90"/>
                  <w:jc w:val="center"/>
                  <w:rPr>
                    <w:rFonts w:ascii="Arial" w:hAnsi="Arial" w:cs="Arial"/>
                  </w:rPr>
                </w:pPr>
              </w:p>
            </w:tc>
            <w:tc>
              <w:tcPr>
                <w:tcW w:w="2409" w:type="dxa"/>
                <w:tcBorders>
                  <w:top w:val="nil"/>
                  <w:left w:val="nil"/>
                  <w:bottom w:val="single" w:sz="4" w:space="0" w:color="000000"/>
                  <w:right w:val="single" w:sz="4" w:space="0" w:color="000000"/>
                </w:tcBorders>
                <w:shd w:val="clear" w:color="auto" w:fill="FFFFFF"/>
                <w:vAlign w:val="center"/>
              </w:tcPr>
              <w:p>
                <w:pPr>
                  <w:widowControl w:val="0"/>
                  <w:ind w:left="126" w:right="82"/>
                  <w:jc w:val="center"/>
                  <w:rPr>
                    <w:rFonts w:ascii="Arial" w:hAnsi="Arial" w:cs="Arial"/>
                  </w:rPr>
                </w:pPr>
              </w:p>
            </w:tc>
            <w:tc>
              <w:tcPr>
                <w:tcW w:w="3950" w:type="dxa"/>
                <w:tcBorders>
                  <w:top w:val="nil"/>
                  <w:left w:val="nil"/>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r>
            <w:tc>
              <w:tcPr>
                <w:tcW w:w="850" w:type="dxa"/>
                <w:tcBorders>
                  <w:top w:val="single" w:sz="4" w:space="0" w:color="000000"/>
                  <w:left w:val="nil"/>
                  <w:bottom w:val="nil"/>
                  <w:right w:val="nil"/>
                </w:tcBorders>
                <w:shd w:val="clear" w:color="auto" w:fill="FFFFFF"/>
                <w:vAlign w:val="bottom"/>
              </w:tcPr>
              <w:p>
                <w:pPr>
                  <w:widowControl w:val="0"/>
                  <w:ind w:left="108" w:right="98"/>
                  <w:rPr>
                    <w:rFonts w:ascii="Arial" w:hAnsi="Arial" w:cs="Arial"/>
                  </w:rPr>
                </w:pPr>
              </w:p>
            </w:tc>
            <w:tc>
              <w:tcPr>
                <w:tcW w:w="2295" w:type="dxa"/>
                <w:tcBorders>
                  <w:top w:val="nil"/>
                  <w:left w:val="nil"/>
                  <w:bottom w:val="nil"/>
                  <w:right w:val="single" w:sz="4" w:space="0" w:color="000000"/>
                </w:tcBorders>
                <w:shd w:val="clear" w:color="auto" w:fill="FFFFFF"/>
                <w:vAlign w:val="bottom"/>
              </w:tcPr>
              <w:p>
                <w:pPr>
                  <w:widowControl w:val="0"/>
                  <w:ind w:left="118" w:right="90"/>
                  <w:rPr>
                    <w:rFonts w:ascii="Arial" w:hAnsi="Arial" w:cs="Arial"/>
                  </w:rPr>
                </w:pPr>
              </w:p>
            </w:tc>
            <w:tc>
              <w:tcPr>
                <w:tcW w:w="2409" w:type="dxa"/>
                <w:tcBorders>
                  <w:top w:val="nil"/>
                  <w:left w:val="single" w:sz="4" w:space="0" w:color="000000"/>
                  <w:bottom w:val="single" w:sz="4" w:space="0" w:color="000000"/>
                  <w:right w:val="nil"/>
                </w:tcBorders>
                <w:shd w:val="clear" w:color="auto" w:fill="FFFFFF"/>
                <w:vAlign w:val="center"/>
              </w:tcPr>
              <w:p>
                <w:pPr>
                  <w:widowControl w:val="0"/>
                  <w:ind w:left="126" w:right="82"/>
                  <w:jc w:val="right"/>
                  <w:rPr>
                    <w:rFonts w:ascii="Arial" w:hAnsi="Arial" w:cs="Arial"/>
                  </w:rPr>
                </w:pPr>
                <w:r>
                  <w:rPr>
                    <w:color w:val="000000"/>
                  </w:rPr>
                  <w:t>Iš viso:</w:t>
                </w:r>
              </w:p>
            </w:tc>
            <w:tc>
              <w:tcPr>
                <w:tcW w:w="3950" w:type="dxa"/>
                <w:tcBorders>
                  <w:top w:val="nil"/>
                  <w:left w:val="single" w:sz="4" w:space="0" w:color="000000"/>
                  <w:bottom w:val="single" w:sz="4" w:space="0" w:color="000000"/>
                  <w:right w:val="single" w:sz="4" w:space="0" w:color="000000"/>
                </w:tcBorders>
                <w:shd w:val="clear" w:color="auto" w:fill="FFFFFF"/>
                <w:vAlign w:val="center"/>
              </w:tcPr>
              <w:p>
                <w:pPr>
                  <w:widowControl w:val="0"/>
                  <w:ind w:left="114" w:right="94"/>
                  <w:jc w:val="center"/>
                  <w:rPr>
                    <w:rFonts w:ascii="Arial" w:hAnsi="Arial" w:cs="Arial"/>
                  </w:rPr>
                </w:pPr>
              </w:p>
            </w:tc>
          </w:tr>
        </w:tbl>
        <w:p>
          <w:pPr>
            <w:widowControl w:val="0"/>
            <w:ind w:left="121" w:right="108"/>
            <w:rPr>
              <w:color w:val="000000"/>
            </w:rPr>
          </w:pPr>
        </w:p>
        <w:p>
          <w:pPr>
            <w:keepNext/>
            <w:tabs>
              <w:tab w:val="left" w:pos="993"/>
              <w:tab w:val="left" w:pos="1134"/>
            </w:tabs>
            <w:ind w:right="9"/>
            <w:jc w:val="both"/>
          </w:pPr>
          <w:r>
            <w:rPr>
              <w:b/>
            </w:rPr>
            <w:t>Pastaba</w:t>
          </w:r>
          <w:r>
            <w:t>. Palūkanos pagal Mokestinės paskolos sutartį,</w:t>
          </w:r>
          <w:r>
            <w:rPr>
              <w:color w:val="000000"/>
              <w:szCs w:val="24"/>
            </w:rPr>
            <w:t xml:space="preserve"> kurios formą tvirtina Valstybinės mokesčių inspekcijos prie Lietuvos Respublikos finansų ministerijos viršininkas</w:t>
          </w:r>
          <w:r>
            <w:t xml:space="preserve"> (toliau ‒ Sutartis), sudarytą dėl mokestinės nepriemokos mokėjimo atidėjimo ir (ar) išdėstymo,</w:t>
          </w:r>
          <w:r>
            <w:rPr>
              <w:bCs/>
            </w:rPr>
            <w:t xml:space="preserve"> į šį mokėjimo grafiką yra neįtrauktos dėl kintamos palūkanų normos</w:t>
          </w:r>
          <w:r>
            <w:t>. Norint sužinoti mokėtinas palūkanas, reikia prisijungti prie Valstybinės mokesčių inspekcijos portalo e. VMI autorizuotų elektroninių paslaugų srities Mano VMI ir pasirinkti skiltį „Mokesčiai“ arba „Mokesčiai ir baudos“ / „Mokestinės paskolos sutartis“, kurioje rodoma einamojo mėnesio įmoka su priskaičiuotomis palūkanomis, padidintomis palūkanomis ir palūkanų delspinigiais bei pradelstos įmokos ir palūkanos. Palūkanos pagal Sutartį, sudarytą dėl baudos už administracinį nusižengimą mokėjimo išdėstymo, nemokamos.</w:t>
          </w:r>
        </w:p>
        <w:p>
          <w:pPr>
            <w:jc w:val="both"/>
          </w:pPr>
        </w:p>
        <w:p>
          <w:pPr>
            <w:jc w:val="both"/>
          </w:pPr>
          <w:r>
            <w:t>(Dokumento sudarytojo įgaliotas asmuo)</w:t>
            <w:tab/>
            <w:tab/>
            <w:tab/>
            <w:t xml:space="preserve">            (Mokesčių mokėtojo atstovas)</w:t>
          </w:r>
        </w:p>
        <w:p>
          <w:pPr>
            <w:rPr>
              <w:sz w:val="16"/>
              <w:szCs w:val="16"/>
              <w:lang w:val="en-US"/>
            </w:rPr>
          </w:pPr>
          <w:r>
            <w:rPr>
              <w:szCs w:val="24"/>
              <w:lang w:val="en-US"/>
            </w:rPr>
            <w:t xml:space="preserve">………….................………..….. </w:t>
          </w:r>
          <w:r>
            <w:rPr>
              <w:sz w:val="16"/>
              <w:szCs w:val="16"/>
              <w:lang w:val="en-US"/>
            </w:rPr>
            <w:t xml:space="preserve"> </w:t>
          </w:r>
          <w:r>
            <w:rPr>
              <w:lang w:val="en-US"/>
            </w:rPr>
            <w:t xml:space="preserve">                                         . </w:t>
          </w:r>
          <w:r>
            <w:rPr>
              <w:szCs w:val="24"/>
              <w:lang w:val="en-US"/>
            </w:rPr>
            <w:t>…………………..……………….</w:t>
          </w:r>
        </w:p>
        <w:p>
          <w:pPr>
            <w:ind w:firstLine="930"/>
            <w:rPr>
              <w:sz w:val="16"/>
              <w:lang w:val="fr-FR"/>
            </w:rPr>
          </w:pPr>
          <w:r>
            <w:rPr>
              <w:sz w:val="16"/>
              <w:lang w:val="fr-FR"/>
            </w:rPr>
            <w:t xml:space="preserve">(pareigų pavadinimas)                                                                                                         (pareigų pavadinimas)</w:t>
          </w:r>
        </w:p>
        <w:p>
          <w:pPr>
            <w:rPr>
              <w:sz w:val="16"/>
              <w:szCs w:val="16"/>
              <w:lang w:val="fr-FR"/>
            </w:rPr>
          </w:pPr>
          <w:r>
            <w:rPr>
              <w:szCs w:val="24"/>
              <w:lang w:val="fr-FR"/>
            </w:rPr>
            <w:t xml:space="preserve">………….................………..…..   </w:t>
          </w:r>
          <w:r>
            <w:rPr>
              <w:lang w:val="fr-FR"/>
            </w:rPr>
            <w:t xml:space="preserve">                                        </w:t>
          </w:r>
          <w:r>
            <w:rPr>
              <w:szCs w:val="24"/>
              <w:lang w:val="fr-FR"/>
            </w:rPr>
            <w:t>…………………..……………….</w:t>
          </w:r>
        </w:p>
        <w:p>
          <w:pPr>
            <w:ind w:firstLine="1140"/>
            <w:rPr>
              <w:sz w:val="16"/>
              <w:lang w:val="fr-FR"/>
            </w:rPr>
          </w:pPr>
          <w:r>
            <w:rPr>
              <w:sz w:val="16"/>
              <w:lang w:val="fr-FR"/>
            </w:rPr>
            <w:t xml:space="preserve">(parašas)                                                                                                                                  (parašas)</w:t>
          </w:r>
        </w:p>
        <w:p>
          <w:pPr>
            <w:rPr>
              <w:szCs w:val="24"/>
              <w:lang w:val="fr-FR"/>
            </w:rPr>
          </w:pPr>
          <w:r>
            <w:rPr>
              <w:szCs w:val="24"/>
              <w:lang w:val="fr-FR"/>
            </w:rPr>
            <w:t xml:space="preserve">………….................………..…..  </w:t>
          </w:r>
          <w:r>
            <w:rPr>
              <w:lang w:val="fr-FR"/>
            </w:rPr>
            <w:t xml:space="preserve">                                         </w:t>
          </w:r>
          <w:r>
            <w:rPr>
              <w:szCs w:val="24"/>
              <w:lang w:val="fr-FR"/>
            </w:rPr>
            <w:t>…………………..……………….</w:t>
          </w:r>
        </w:p>
        <w:p>
          <w:pPr>
            <w:ind w:firstLine="874"/>
            <w:rPr>
              <w:sz w:val="16"/>
              <w:lang w:val="fr-FR"/>
            </w:rPr>
          </w:pPr>
          <w:r>
            <w:rPr>
              <w:sz w:val="16"/>
              <w:lang w:val="fr-FR"/>
            </w:rPr>
            <w:t xml:space="preserve">(vardas, pavardė)                                                                                                                      (vardas, pavardė)</w:t>
          </w:r>
        </w:p>
        <w:sdt>
          <w:sdtPr>
            <w:alias w:val="pabaiga"/>
            <w:tag w:val="part_b5656c29b0d248a3959717bc5088bc1f"/>
            <w:lock w:val="sdtLocked"/>
            <w:richText/>
          </w:sdtPr>
          <w:sdtContent>
            <w:p>
              <w:pPr>
                <w:jc w:val="center"/>
                <w:rPr>
                  <w:color w:val="000000"/>
                </w:rPr>
              </w:pPr>
              <w: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7a6f00a3311f08e9f87c0d053bf09">
            <w:r w:rsidRPr="00532B9F">
              <w:rPr>
                <w:rFonts w:ascii="Times New Roman" w:eastAsia="MS Mincho" w:hAnsi="Times New Roman"/>
                <w:sz w:val="20"/>
                <w:i/>
                <w:iCs/>
                <w:color w:val="0000FF" w:themeColor="hyperlink"/>
                <w:u w:val="single"/>
              </w:rPr>
              <w:t>VA-23</w:t>
            </w:r>
          </w:fldSimple>
          <w:r>
            <w:rPr>
              <w:rFonts w:ascii="Times New Roman" w:eastAsia="MS Mincho" w:hAnsi="Times New Roman"/>
              <w:sz w:val="20"/>
              <w:i/>
              <w:iCs/>
            </w:rPr>
            <w:t>,
2025-03-26,
paskelbta TAR 2025-03-26, i. k. 2025-04962            </w:t>
          </w:r>
        </w:p>
        <w:p/>
      </w:sdtContent>
    </w:sdt>
    <w:sdt>
      <w:sdtPr>
        <w:alias w:val="patvirtinta"/>
        <w:tag w:val="part_22928158c8a349f3b9ecc4a03033be6f"/>
        <w:lock w:val="sdtLocked"/>
        <w:richText/>
      </w:sdtPr>
      <w:sdtContent>
        <w:p>
          <w:pPr>
            <w:widowControl w:val="0"/>
            <w:tabs>
              <w:tab w:val="left" w:leader="dot" w:pos="851"/>
              <w:tab w:val="left" w:leader="dot" w:pos="1992"/>
              <w:tab w:val="left" w:leader="dot" w:pos="3384"/>
            </w:tabs>
            <w:spacing w:line="144" w:lineRule="atLeast"/>
            <w:ind w:firstLine="4962"/>
            <w:jc w:val="both"/>
            <w:rPr>
              <w:color w:val="000000"/>
            </w:rPr>
            <w:sectPr>
              <w:headerReference w:type="first" r:id="rId25"/>
              <w:pgSz w:w="11907" w:h="16840" w:code="9"/>
              <w:pgMar w:top="1134" w:right="567" w:bottom="1134" w:left="1701" w:header="567" w:footer="567" w:gutter="0"/>
              <w:pgNumType w:start="2"/>
              <w:cols w:space="1296"/>
              <w:titlePg/>
            </w:sectPr>
          </w:pPr>
        </w:p>
        <w:p>
          <w:pPr>
            <w:widowControl w:val="0"/>
            <w:tabs>
              <w:tab w:val="left" w:leader="dot" w:pos="851"/>
              <w:tab w:val="left" w:leader="dot" w:pos="1992"/>
              <w:tab w:val="left" w:leader="dot" w:pos="3384"/>
            </w:tabs>
            <w:spacing w:line="144" w:lineRule="atLeast"/>
            <w:ind w:firstLine="4962"/>
            <w:jc w:val="both"/>
            <w:rPr>
              <w:color w:val="000000"/>
            </w:rPr>
          </w:pPr>
          <w:r>
            <w:rPr>
              <w:color w:val="000000"/>
            </w:rPr>
            <w:t>PATVIRTINTA</w:t>
          </w:r>
        </w:p>
        <w:p>
          <w:pPr>
            <w:widowControl w:val="0"/>
            <w:tabs>
              <w:tab w:val="left" w:leader="dot" w:pos="851"/>
              <w:tab w:val="left" w:leader="dot" w:pos="1992"/>
              <w:tab w:val="left" w:leader="dot" w:pos="3384"/>
            </w:tabs>
            <w:spacing w:line="144" w:lineRule="atLeast"/>
            <w:ind w:firstLine="4962"/>
            <w:jc w:val="both"/>
            <w:rPr>
              <w:color w:val="000000"/>
            </w:rPr>
          </w:pPr>
          <w:r>
            <w:rPr>
              <w:color w:val="000000"/>
            </w:rPr>
            <w:t xml:space="preserve">Valstybinės mokesčių inspekcijos prie </w:t>
          </w:r>
        </w:p>
        <w:p>
          <w:pPr>
            <w:widowControl w:val="0"/>
            <w:tabs>
              <w:tab w:val="left" w:leader="dot" w:pos="851"/>
              <w:tab w:val="left" w:leader="dot" w:pos="1992"/>
              <w:tab w:val="left" w:leader="dot" w:pos="3384"/>
            </w:tabs>
            <w:spacing w:line="144" w:lineRule="atLeast"/>
            <w:ind w:left="4962"/>
            <w:jc w:val="both"/>
            <w:rPr>
              <w:color w:val="000000"/>
            </w:rPr>
          </w:pPr>
          <w:r>
            <w:rPr>
              <w:color w:val="000000"/>
            </w:rPr>
            <w:t xml:space="preserve">Lietuvos Respublikos finansų ministerijos viršininko </w:t>
          </w:r>
        </w:p>
        <w:p>
          <w:pPr>
            <w:widowControl w:val="0"/>
            <w:tabs>
              <w:tab w:val="left" w:leader="dot" w:pos="851"/>
              <w:tab w:val="left" w:leader="dot" w:pos="1992"/>
              <w:tab w:val="left" w:leader="dot" w:pos="3384"/>
            </w:tabs>
            <w:spacing w:line="144" w:lineRule="atLeast"/>
            <w:ind w:firstLine="4962"/>
            <w:jc w:val="both"/>
            <w:rPr>
              <w:color w:val="000000"/>
            </w:rPr>
          </w:pPr>
          <w:r>
            <w:rPr>
              <w:color w:val="000000"/>
            </w:rPr>
            <w:t>20</w:t>
          </w:r>
          <w:r>
            <w:rPr>
              <w:color w:val="000000"/>
              <w:lang w:val="en-US"/>
            </w:rPr>
            <w:t>24</w:t>
          </w:r>
          <w:r>
            <w:rPr>
              <w:color w:val="000000"/>
            </w:rPr>
            <w:t xml:space="preserve"> m. spalio 23 d. įsakymu Nr. VA-83</w:t>
          </w:r>
        </w:p>
        <w:p>
          <w:pPr>
            <w:tabs>
              <w:tab w:val="right" w:leader="dot" w:pos="9072"/>
            </w:tabs>
            <w:jc w:val="center"/>
            <w:rPr>
              <w:color w:val="000000"/>
            </w:rPr>
          </w:pPr>
        </w:p>
        <w:p>
          <w:pPr>
            <w:tabs>
              <w:tab w:val="right" w:leader="dot" w:pos="9072"/>
            </w:tabs>
            <w:jc w:val="center"/>
            <w:rPr>
              <w:b/>
            </w:rPr>
          </w:pPr>
          <w:r>
            <w:rPr>
              <w:b/>
            </w:rPr>
            <w:t>(Sprendimo atidėti / išdėstyti mokestinės nepriemokos / baudos už administracinį nusižengimą mokėjimą FR0285 forma)</w:t>
          </w:r>
        </w:p>
        <w:p>
          <w:pPr>
            <w:tabs>
              <w:tab w:val="right" w:leader="dot" w:pos="9072"/>
            </w:tabs>
            <w:jc w:val="center"/>
            <w:rPr>
              <w:b/>
            </w:rPr>
          </w:pPr>
        </w:p>
        <w:p>
          <w:pPr>
            <w:tabs>
              <w:tab w:val="right" w:leader="dot" w:pos="9072"/>
            </w:tabs>
            <w:jc w:val="center"/>
            <w:rPr>
              <w:b/>
            </w:rPr>
          </w:pPr>
          <w:r>
            <w:rPr>
              <w:color w:val="000000"/>
              <w:szCs w:val="24"/>
              <w:lang w:eastAsia="lt-LT"/>
            </w:rPr>
            <w:drawing>
              <wp:inline distT="0" distB="0" distL="0" distR="0">
                <wp:extent cx="541020" cy="55626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right" w:leader="dot" w:pos="9072"/>
            </w:tabs>
            <w:jc w:val="center"/>
            <w:rPr>
              <w:b/>
              <w:color w:val="000000"/>
            </w:rPr>
          </w:pPr>
        </w:p>
        <w:p>
          <w:pPr>
            <w:tabs>
              <w:tab w:val="right" w:leader="dot" w:pos="9072"/>
            </w:tabs>
            <w:jc w:val="center"/>
            <w:rPr>
              <w:b/>
              <w:color w:val="000000"/>
            </w:rPr>
          </w:pPr>
          <w:r>
            <w:rPr>
              <w:b/>
              <w:color w:val="000000"/>
            </w:rPr>
            <w:t>VALSTYBINĖ MOKESČIŲ INSPEKCIJA</w:t>
          </w:r>
        </w:p>
        <w:p>
          <w:pPr>
            <w:tabs>
              <w:tab w:val="right" w:leader="dot" w:pos="9072"/>
            </w:tabs>
            <w:jc w:val="center"/>
            <w:rPr>
              <w:bCs/>
              <w:sz w:val="20"/>
            </w:rPr>
          </w:pPr>
          <w:r>
            <w:rPr>
              <w:b/>
              <w:color w:val="000000"/>
            </w:rPr>
            <w:t>PRIE LIETUVOS RESPUBLIKOS FINANSŲ MINISTERIJOS</w:t>
          </w:r>
        </w:p>
        <w:p>
          <w:pPr>
            <w:widowControl w:val="0"/>
            <w:spacing w:line="257" w:lineRule="atLeast"/>
            <w:jc w:val="center"/>
            <w:rPr>
              <w:b/>
              <w:bCs/>
              <w:color w:val="000000"/>
              <w:szCs w:val="28"/>
            </w:rPr>
          </w:pPr>
        </w:p>
        <w:p>
          <w:pPr>
            <w:widowControl w:val="0"/>
            <w:spacing w:line="257" w:lineRule="atLeast"/>
            <w:jc w:val="center"/>
            <w:rPr>
              <w:b/>
              <w:bCs/>
              <w:color w:val="000000"/>
              <w:szCs w:val="28"/>
            </w:rPr>
          </w:pPr>
          <w:r>
            <w:rPr>
              <w:b/>
              <w:bCs/>
              <w:color w:val="000000"/>
              <w:szCs w:val="28"/>
            </w:rPr>
            <w:t>SPRENDIMAS</w:t>
          </w:r>
        </w:p>
        <w:p>
          <w:pPr>
            <w:widowControl w:val="0"/>
            <w:spacing w:line="257" w:lineRule="atLeast"/>
            <w:jc w:val="center"/>
            <w:rPr>
              <w:b/>
              <w:bCs/>
              <w:color w:val="000000"/>
              <w:szCs w:val="28"/>
            </w:rPr>
          </w:pPr>
          <w:r>
            <w:rPr>
              <w:b/>
              <w:bCs/>
              <w:color w:val="000000"/>
              <w:szCs w:val="28"/>
            </w:rPr>
            <w:t>ATIDĖTI / IŠDĖSTYTI MOKESTINĖS NEPRIEMOKOS / BAUDOS UŽ ADMINISTRACINĮ NUSIŽENGIMĄ MOKĖJIMĄ FR0285</w:t>
          </w:r>
        </w:p>
        <w:p>
          <w:pPr>
            <w:tabs>
              <w:tab w:val="left" w:pos="851"/>
            </w:tabs>
            <w:jc w:val="center"/>
            <w:rPr>
              <w:color w:val="000000"/>
              <w:sz w:val="16"/>
            </w:rPr>
          </w:pPr>
        </w:p>
        <w:tbl>
          <w:tblPr>
            <w:tblW w:w="0" w:type="auto"/>
            <w:jc w:val="center"/>
            <w:tblLayout w:type="fixed"/>
            <w:tblCellMar>
              <w:left w:w="0" w:type="dxa"/>
              <w:right w:w="0" w:type="dxa"/>
            </w:tblCellMar>
            <w:tblLook w:val="0000" w:firstRow="0" w:lastRow="0" w:firstColumn="0" w:lastColumn="0" w:noHBand="0" w:noVBand="0"/>
          </w:tblPr>
          <w:tblGrid>
            <w:gridCol w:w="1985"/>
            <w:gridCol w:w="600"/>
            <w:gridCol w:w="1985"/>
          </w:tblGrid>
          <w:tr>
            <w:trPr>
              <w:jc w:val="center"/>
            </w:trPr>
            <w:tc>
              <w:tcPr>
                <w:tcW w:w="1985" w:type="dxa"/>
              </w:tcPr>
              <w:p>
                <w:pPr>
                  <w:tabs>
                    <w:tab w:val="left" w:leader="dot" w:pos="1698"/>
                  </w:tabs>
                  <w:rPr>
                    <w:color w:val="000000"/>
                  </w:rPr>
                </w:pPr>
                <w:r>
                  <w:rPr>
                    <w:color w:val="000000"/>
                    <w:sz w:val="16"/>
                  </w:rPr>
                  <w:tab/>
                </w:r>
              </w:p>
            </w:tc>
            <w:tc>
              <w:tcPr>
                <w:tcW w:w="600" w:type="dxa"/>
              </w:tcPr>
              <w:p>
                <w:pPr>
                  <w:jc w:val="center"/>
                  <w:rPr>
                    <w:color w:val="000000"/>
                  </w:rPr>
                </w:pPr>
                <w:r>
                  <w:rPr>
                    <w:color w:val="000000"/>
                  </w:rPr>
                  <w:t>Nr.</w:t>
                </w:r>
              </w:p>
            </w:tc>
            <w:tc>
              <w:tcPr>
                <w:tcW w:w="1985" w:type="dxa"/>
              </w:tcPr>
              <w:p>
                <w:pPr>
                  <w:tabs>
                    <w:tab w:val="left" w:leader="dot" w:pos="1695"/>
                  </w:tabs>
                  <w:rPr>
                    <w:color w:val="000000"/>
                  </w:rPr>
                </w:pPr>
                <w:r>
                  <w:rPr>
                    <w:color w:val="000000"/>
                    <w:sz w:val="16"/>
                  </w:rPr>
                  <w:tab/>
                </w:r>
              </w:p>
            </w:tc>
          </w:tr>
          <w:tr>
            <w:trPr>
              <w:jc w:val="center"/>
            </w:trPr>
            <w:tc>
              <w:tcPr>
                <w:tcW w:w="1985" w:type="dxa"/>
              </w:tcPr>
              <w:p>
                <w:pPr>
                  <w:tabs>
                    <w:tab w:val="left" w:pos="318"/>
                  </w:tabs>
                  <w:ind w:firstLine="318"/>
                  <w:rPr>
                    <w:color w:val="000000"/>
                  </w:rPr>
                </w:pPr>
                <w:r>
                  <w:rPr>
                    <w:color w:val="000000"/>
                    <w:sz w:val="16"/>
                  </w:rPr>
                  <w:t>(data)</w:t>
                </w:r>
              </w:p>
            </w:tc>
            <w:tc>
              <w:tcPr>
                <w:tcW w:w="600" w:type="dxa"/>
              </w:tcPr>
              <w:p>
                <w:pPr>
                  <w:jc w:val="center"/>
                  <w:rPr>
                    <w:color w:val="000000"/>
                  </w:rPr>
                </w:pPr>
              </w:p>
            </w:tc>
            <w:tc>
              <w:tcPr>
                <w:tcW w:w="1985" w:type="dxa"/>
              </w:tcPr>
              <w:p>
                <w:pPr>
                  <w:tabs>
                    <w:tab w:val="left" w:pos="157"/>
                  </w:tabs>
                  <w:ind w:firstLine="157"/>
                  <w:rPr>
                    <w:color w:val="000000"/>
                  </w:rPr>
                </w:pPr>
                <w:r>
                  <w:rPr>
                    <w:color w:val="000000"/>
                    <w:sz w:val="16"/>
                  </w:rPr>
                  <w:t>(registracijos numeris)</w:t>
                </w:r>
              </w:p>
            </w:tc>
          </w:tr>
          <w:tr>
            <w:trPr>
              <w:jc w:val="center"/>
            </w:trPr>
            <w:tc>
              <w:tcPr>
                <w:tcW w:w="4570" w:type="dxa"/>
                <w:gridSpan w:val="3"/>
              </w:tcPr>
              <w:p>
                <w:pPr>
                  <w:tabs>
                    <w:tab w:val="left" w:leader="dot" w:pos="2268"/>
                  </w:tabs>
                  <w:jc w:val="center"/>
                  <w:rPr>
                    <w:color w:val="000000"/>
                  </w:rPr>
                </w:pPr>
                <w:r>
                  <w:rPr>
                    <w:color w:val="000000"/>
                    <w:sz w:val="16"/>
                  </w:rPr>
                  <w:tab/>
                </w:r>
              </w:p>
            </w:tc>
          </w:tr>
          <w:tr>
            <w:trPr>
              <w:jc w:val="center"/>
            </w:trPr>
            <w:tc>
              <w:tcPr>
                <w:tcW w:w="4570" w:type="dxa"/>
                <w:gridSpan w:val="3"/>
              </w:tcPr>
              <w:p>
                <w:pPr>
                  <w:jc w:val="center"/>
                  <w:rPr>
                    <w:color w:val="000000"/>
                  </w:rPr>
                </w:pPr>
                <w:r>
                  <w:rPr>
                    <w:color w:val="000000"/>
                    <w:sz w:val="16"/>
                  </w:rPr>
                  <w:t>(sudarymo vieta)</w:t>
                </w:r>
              </w:p>
            </w:tc>
          </w:tr>
        </w:tbl>
        <w:p>
          <w:pPr>
            <w:tabs>
              <w:tab w:val="right" w:leader="dot" w:pos="9072"/>
            </w:tabs>
            <w:rPr>
              <w:color w:val="000000"/>
              <w:sz w:val="16"/>
            </w:rPr>
          </w:pPr>
        </w:p>
        <w:p>
          <w:pPr>
            <w:tabs>
              <w:tab w:val="right" w:leader="dot" w:pos="9072"/>
            </w:tabs>
            <w:rPr>
              <w:color w:val="000000"/>
              <w:sz w:val="16"/>
            </w:rPr>
          </w:pPr>
        </w:p>
        <w:p>
          <w:pPr>
            <w:tabs>
              <w:tab w:val="left" w:pos="9000"/>
              <w:tab w:val="right" w:leader="dot" w:pos="9072"/>
            </w:tabs>
            <w:ind w:firstLine="709"/>
            <w:jc w:val="both"/>
            <w:rPr>
              <w:color w:val="000000"/>
            </w:rPr>
          </w:pPr>
          <w:r>
            <w:rPr>
              <w:color w:val="000000"/>
            </w:rPr>
            <w:t xml:space="preserve">Vadovaudamasis </w:t>
          </w:r>
          <w:r>
            <w:rPr>
              <w:color w:val="000000"/>
              <w:szCs w:val="24"/>
            </w:rPr>
            <w:t>(</w:t>
          </w:r>
          <w:r>
            <w:rPr>
              <w:bCs/>
              <w:iCs/>
              <w:color w:val="000000"/>
              <w:szCs w:val="24"/>
              <w:shd w:val="clear" w:color="auto" w:fill="FFFFFF"/>
            </w:rPr>
            <w:t>-si)</w:t>
          </w:r>
          <w:r>
            <w:rPr>
              <w:color w:val="000000"/>
            </w:rPr>
            <w:t xml:space="preserve"> Lietuvos Respublikos mokesčių administravimo įstatymo 14 straipsnio 7 dalimi ir 88 straipsniu, šiuo Valstybinės mokesčių inspekcijos prie Lietuvos Respublikos finansų ministerijos viršininko įsakymu patvirtintomis Mokestinės nepriemokos ar baudos už administracinį nusižengimą mokėjimo atidėjimo ir (ar) išdėstymo taisyklėmis, </w:t>
          </w:r>
        </w:p>
        <w:p>
          <w:pPr>
            <w:tabs>
              <w:tab w:val="right" w:leader="dot" w:pos="9072"/>
            </w:tabs>
            <w:rPr>
              <w:b/>
              <w:color w:val="000000"/>
            </w:rPr>
          </w:pPr>
          <w:r>
            <w:rPr>
              <w:color w:val="000000"/>
            </w:rPr>
            <w:t xml:space="preserve">remdamasis </w:t>
          </w:r>
          <w:r>
            <w:t>(-si)</w:t>
          </w:r>
          <w:r>
            <w:rPr>
              <w:color w:val="000000"/>
              <w:sz w:val="16"/>
            </w:rPr>
            <w:tab/>
          </w:r>
          <w:r>
            <w:rPr>
              <w:color w:val="000000"/>
            </w:rPr>
            <w:t>,</w:t>
          </w:r>
        </w:p>
        <w:p>
          <w:pPr>
            <w:tabs>
              <w:tab w:val="left" w:pos="3360"/>
              <w:tab w:val="right" w:leader="dot" w:pos="9072"/>
            </w:tabs>
            <w:jc w:val="center"/>
          </w:pPr>
          <w:r>
            <w:rPr>
              <w:color w:val="000000"/>
              <w:sz w:val="16"/>
            </w:rPr>
            <w:t>(dokumento sudarytojo pavadinimas, dokumento pavadinimas, data ir numeris)</w:t>
          </w:r>
        </w:p>
        <w:p>
          <w:pPr>
            <w:tabs>
              <w:tab w:val="right" w:leader="dot" w:pos="9072"/>
            </w:tabs>
            <w:ind w:firstLine="709"/>
            <w:jc w:val="both"/>
            <w:rPr>
              <w:sz w:val="16"/>
            </w:rPr>
          </w:pPr>
          <w:r>
            <w:rPr>
              <w:spacing w:val="80"/>
            </w:rPr>
            <w:t>nusprendžiu</w:t>
          </w:r>
          <w:r>
            <w:t xml:space="preserve"> atidėti / neatidėti / išdėstyti / neišdėstyti toliau nurodyto mokesčių mokėtojo mokestinės nepriemokos / baudos už administracinį nusižengimą mokėjimą toliau nurodytam laikotarpiui. / Pagal šį sprendimą Mokestinės paskolos sutartis gali būti sudaryta tik tuo atveju, jei mokesčių mokėtojas iki sutarties sudarymo dienos įvykdys nurodytas papildomas sąlygas.</w:t>
          </w:r>
        </w:p>
        <w:p>
          <w:pPr>
            <w:tabs>
              <w:tab w:val="right" w:leader="dot" w:pos="9072"/>
            </w:tabs>
            <w:rPr>
              <w:color w:val="000000"/>
            </w:rPr>
          </w:pPr>
          <w:r>
            <w:rPr>
              <w:color w:val="000000"/>
            </w:rPr>
            <w:t>Mokesčių mokėtojas</w:t>
          </w:r>
          <w:r>
            <w:rPr>
              <w:color w:val="000000"/>
              <w:sz w:val="16"/>
            </w:rPr>
            <w:tab/>
          </w:r>
        </w:p>
        <w:p>
          <w:pPr>
            <w:tabs>
              <w:tab w:val="left" w:pos="2520"/>
              <w:tab w:val="right" w:leader="dot" w:pos="9072"/>
            </w:tabs>
            <w:ind w:firstLine="2242"/>
            <w:rPr>
              <w:color w:val="000000"/>
              <w:sz w:val="16"/>
            </w:rPr>
          </w:pPr>
          <w:r>
            <w:rPr>
              <w:color w:val="000000"/>
              <w:sz w:val="16"/>
            </w:rPr>
            <w:t xml:space="preserve">(juridinio asmens pavadinimas, identifikacinis numeris (kodas) arba fizinio asmens vardas ir pavardė, </w:t>
          </w:r>
        </w:p>
        <w:p>
          <w:pPr>
            <w:tabs>
              <w:tab w:val="left" w:pos="2520"/>
              <w:tab w:val="right" w:leader="dot" w:pos="9072"/>
            </w:tabs>
            <w:ind w:firstLine="2242"/>
            <w:rPr>
              <w:sz w:val="16"/>
            </w:rPr>
          </w:pPr>
          <w:r>
            <w:rPr>
              <w:color w:val="000000"/>
              <w:sz w:val="16"/>
            </w:rPr>
            <w:t>identifikacinis numeris (asmens kodas), buveinės arba gyvenamosios vietos adresas)</w:t>
          </w:r>
        </w:p>
        <w:p>
          <w:pPr>
            <w:tabs>
              <w:tab w:val="center" w:pos="4680"/>
              <w:tab w:val="right" w:leader="dot" w:pos="9072"/>
              <w:tab w:val="right" w:pos="9360"/>
            </w:tabs>
            <w:rPr>
              <w:sz w:val="16"/>
              <w:szCs w:val="22"/>
              <w:lang w:eastAsia="lt-LT"/>
            </w:rPr>
          </w:pPr>
          <w:r>
            <w:rPr>
              <w:bCs/>
              <w:szCs w:val="24"/>
              <w:lang w:eastAsia="lt-LT"/>
            </w:rPr>
            <w:t>Išdėstymo / atidėjimo laikotarpis</w:t>
          </w:r>
          <w:r>
            <w:rPr>
              <w:b/>
              <w:bCs/>
              <w:sz w:val="22"/>
              <w:szCs w:val="22"/>
              <w:lang w:eastAsia="lt-LT"/>
            </w:rPr>
            <w:t xml:space="preserve"> </w:t>
          </w:r>
          <w:r>
            <w:rPr>
              <w:sz w:val="16"/>
              <w:szCs w:val="22"/>
              <w:lang w:eastAsia="lt-LT"/>
            </w:rPr>
            <w:t>…………………………………………………………………………………………….................................................</w:t>
          </w:r>
        </w:p>
        <w:p>
          <w:pPr>
            <w:tabs>
              <w:tab w:val="center" w:pos="4680"/>
              <w:tab w:val="right" w:leader="dot" w:pos="9072"/>
              <w:tab w:val="right" w:pos="9360"/>
            </w:tabs>
            <w:ind w:left="3261" w:right="567"/>
            <w:jc w:val="both"/>
            <w:rPr>
              <w:sz w:val="16"/>
              <w:szCs w:val="22"/>
              <w:lang w:eastAsia="lt-LT"/>
            </w:rPr>
          </w:pPr>
          <w:r>
            <w:rPr>
              <w:sz w:val="16"/>
              <w:szCs w:val="22"/>
              <w:lang w:eastAsia="lt-LT"/>
            </w:rPr>
            <w:t xml:space="preserve">(nurodyti laikotarpį </w:t>
          </w:r>
          <w:r>
            <w:rPr>
              <w:sz w:val="16"/>
              <w:szCs w:val="16"/>
              <w:lang w:eastAsia="lt-LT"/>
            </w:rPr>
            <w:t xml:space="preserve">nuo–iki, </w:t>
          </w:r>
          <w:r>
            <w:rPr>
              <w:sz w:val="16"/>
              <w:szCs w:val="22"/>
              <w:lang w:eastAsia="lt-LT"/>
            </w:rPr>
            <w:t>jei mokestinės nepriemokos / baudos už administracinį nusižengimą mokėjimo išdėstymo atveju įmokų mokėjimo pradžia atidedama, nurodyti datą, iki kada ji atidedama)</w:t>
          </w:r>
        </w:p>
        <w:p>
          <w:pPr>
            <w:tabs>
              <w:tab w:val="center" w:pos="4680"/>
              <w:tab w:val="right" w:leader="dot" w:pos="9072"/>
              <w:tab w:val="right" w:pos="9360"/>
            </w:tabs>
            <w:jc w:val="both"/>
            <w:rPr>
              <w:sz w:val="16"/>
              <w:szCs w:val="22"/>
              <w:lang w:eastAsia="lt-LT"/>
            </w:rPr>
          </w:pPr>
        </w:p>
        <w:tbl>
          <w:tblPr>
            <w:tblW w:w="9659"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90"/>
            <w:gridCol w:w="2828"/>
            <w:gridCol w:w="2590"/>
            <w:gridCol w:w="2551"/>
          </w:tblGrid>
          <w:tr>
            <w:tc>
              <w:tcPr>
                <w:tcW w:w="1690"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Įmokos kodas</w:t>
                </w:r>
              </w:p>
            </w:tc>
            <w:tc>
              <w:tcPr>
                <w:tcW w:w="2828"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Prievolės tipas</w:t>
                </w:r>
              </w:p>
            </w:tc>
            <w:tc>
              <w:tcPr>
                <w:tcW w:w="2590" w:type="dxa"/>
                <w:tcBorders>
                  <w:top w:val="single" w:sz="4" w:space="0" w:color="auto"/>
                  <w:left w:val="single" w:sz="4" w:space="0" w:color="auto"/>
                  <w:bottom w:val="single" w:sz="4" w:space="0" w:color="auto"/>
                  <w:right w:val="single" w:sz="4" w:space="0" w:color="auto"/>
                </w:tcBorders>
              </w:tcPr>
              <w:p>
                <w:pPr>
                  <w:tabs>
                    <w:tab w:val="left" w:pos="2805"/>
                    <w:tab w:val="center" w:pos="4680"/>
                    <w:tab w:val="right" w:leader="dot" w:pos="9072"/>
                    <w:tab w:val="right" w:pos="9360"/>
                  </w:tabs>
                  <w:jc w:val="center"/>
                  <w:rPr>
                    <w:szCs w:val="24"/>
                    <w:lang w:eastAsia="lt-LT"/>
                  </w:rPr>
                </w:pPr>
                <w:r>
                  <w:rPr>
                    <w:szCs w:val="24"/>
                    <w:lang w:eastAsia="lt-LT"/>
                  </w:rPr>
                  <w:t>Deklaracijos / Sprendimo dėl patikrinimo akto tvirtinimo / Nutarimo data</w:t>
                </w:r>
              </w:p>
            </w:tc>
            <w:tc>
              <w:tcPr>
                <w:tcW w:w="2551"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Suma</w:t>
                </w:r>
              </w:p>
            </w:tc>
          </w:tr>
          <w:tr>
            <w:tc>
              <w:tcPr>
                <w:tcW w:w="1690" w:type="dxa"/>
                <w:tcBorders>
                  <w:top w:val="single" w:sz="4" w:space="0" w:color="auto"/>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828"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590"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551" w:type="dxa"/>
                <w:tcBorders>
                  <w:top w:val="single" w:sz="4" w:space="0" w:color="auto"/>
                  <w:left w:val="single" w:sz="4" w:space="0" w:color="auto"/>
                  <w:bottom w:val="single" w:sz="4" w:space="0" w:color="auto"/>
                </w:tcBorders>
              </w:tcPr>
              <w:p>
                <w:pPr>
                  <w:tabs>
                    <w:tab w:val="center" w:pos="4680"/>
                    <w:tab w:val="right" w:leader="dot" w:pos="9072"/>
                    <w:tab w:val="right" w:pos="9360"/>
                  </w:tabs>
                  <w:rPr>
                    <w:szCs w:val="24"/>
                    <w:lang w:eastAsia="lt-LT"/>
                  </w:rPr>
                </w:pPr>
              </w:p>
            </w:tc>
          </w:tr>
          <w:tr>
            <w:tc>
              <w:tcPr>
                <w:tcW w:w="1690" w:type="dxa"/>
                <w:tcBorders>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828" w:type="dxa"/>
                <w:tcBorders>
                  <w:left w:val="single" w:sz="4" w:space="0" w:color="auto"/>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590" w:type="dxa"/>
                <w:tcBorders>
                  <w:left w:val="single" w:sz="4" w:space="0" w:color="auto"/>
                  <w:bottom w:val="single" w:sz="4" w:space="0" w:color="auto"/>
                  <w:right w:val="single" w:sz="4" w:space="0" w:color="auto"/>
                </w:tcBorders>
              </w:tcPr>
              <w:p>
                <w:pPr>
                  <w:tabs>
                    <w:tab w:val="center" w:pos="4680"/>
                    <w:tab w:val="right" w:leader="dot" w:pos="9072"/>
                    <w:tab w:val="right" w:pos="9360"/>
                  </w:tabs>
                  <w:rPr>
                    <w:szCs w:val="24"/>
                    <w:lang w:eastAsia="lt-LT"/>
                  </w:rPr>
                </w:pPr>
              </w:p>
            </w:tc>
            <w:tc>
              <w:tcPr>
                <w:tcW w:w="2551" w:type="dxa"/>
                <w:tcBorders>
                  <w:left w:val="single" w:sz="4" w:space="0" w:color="auto"/>
                  <w:bottom w:val="single" w:sz="4" w:space="0" w:color="auto"/>
                </w:tcBorders>
              </w:tcPr>
              <w:p>
                <w:pPr>
                  <w:tabs>
                    <w:tab w:val="center" w:pos="4680"/>
                    <w:tab w:val="right" w:leader="dot" w:pos="9072"/>
                    <w:tab w:val="right" w:pos="9360"/>
                  </w:tabs>
                  <w:rPr>
                    <w:szCs w:val="24"/>
                    <w:lang w:eastAsia="lt-LT"/>
                  </w:rPr>
                </w:pPr>
              </w:p>
            </w:tc>
          </w:tr>
        </w:tbl>
        <w:p>
          <w:pPr>
            <w:tabs>
              <w:tab w:val="center" w:pos="4680"/>
              <w:tab w:val="right" w:leader="dot" w:pos="9072"/>
              <w:tab w:val="right" w:pos="9360"/>
            </w:tabs>
            <w:rPr>
              <w:szCs w:val="24"/>
              <w:lang w:eastAsia="lt-LT"/>
            </w:rPr>
          </w:pPr>
        </w:p>
        <w:p>
          <w:pPr>
            <w:tabs>
              <w:tab w:val="center" w:pos="4680"/>
              <w:tab w:val="right" w:leader="dot" w:pos="9072"/>
              <w:tab w:val="right" w:pos="9360"/>
            </w:tabs>
            <w:rPr>
              <w:b/>
              <w:szCs w:val="24"/>
              <w:lang w:eastAsia="lt-LT"/>
            </w:rPr>
          </w:pPr>
          <w:r>
            <w:rPr>
              <w:szCs w:val="24"/>
              <w:lang w:eastAsia="lt-LT"/>
            </w:rPr>
            <w:t>Bendra suma .................................................................................................................</w:t>
            <w:tab/>
          </w:r>
        </w:p>
        <w:p>
          <w:pPr>
            <w:tabs>
              <w:tab w:val="center" w:pos="4680"/>
              <w:tab w:val="right" w:leader="dot" w:pos="9072"/>
              <w:tab w:val="left" w:pos="9356"/>
            </w:tabs>
            <w:ind w:firstLine="190"/>
            <w:jc w:val="center"/>
            <w:rPr>
              <w:sz w:val="16"/>
              <w:szCs w:val="22"/>
              <w:lang w:eastAsia="lt-LT"/>
            </w:rPr>
          </w:pPr>
          <w:r>
            <w:rPr>
              <w:sz w:val="16"/>
              <w:szCs w:val="22"/>
              <w:lang w:eastAsia="lt-LT"/>
            </w:rPr>
            <w:t xml:space="preserve">(atidedamos / neatidedamos / išdėstomos / neišdėstomos mokestinės nepriemokos / baudos už administracinį </w:t>
          </w:r>
        </w:p>
        <w:p>
          <w:pPr>
            <w:tabs>
              <w:tab w:val="center" w:pos="4680"/>
              <w:tab w:val="right" w:leader="dot" w:pos="9072"/>
              <w:tab w:val="left" w:pos="9356"/>
            </w:tabs>
            <w:jc w:val="center"/>
            <w:rPr>
              <w:sz w:val="16"/>
              <w:szCs w:val="22"/>
              <w:lang w:eastAsia="lt-LT"/>
            </w:rPr>
          </w:pPr>
          <w:r>
            <w:rPr>
              <w:sz w:val="16"/>
              <w:szCs w:val="22"/>
              <w:lang w:eastAsia="lt-LT"/>
            </w:rPr>
            <w:t>nusižengimą suma skaitmenimis ir žodžiais)</w:t>
          </w:r>
        </w:p>
        <w:p>
          <w:pPr>
            <w:tabs>
              <w:tab w:val="center" w:pos="4680"/>
              <w:tab w:val="right" w:leader="dot" w:pos="9072"/>
              <w:tab w:val="right" w:pos="9360"/>
            </w:tabs>
            <w:rPr>
              <w:bCs/>
              <w:szCs w:val="24"/>
              <w:lang w:eastAsia="lt-LT"/>
            </w:rPr>
          </w:pPr>
          <w:r>
            <w:rPr>
              <w:szCs w:val="24"/>
              <w:lang w:eastAsia="lt-LT"/>
            </w:rPr>
            <w:t>Papildomos sąlygos</w:t>
          </w:r>
          <w:r>
            <w:rPr>
              <w:b/>
              <w:sz w:val="22"/>
              <w:szCs w:val="22"/>
              <w:lang w:eastAsia="lt-LT"/>
            </w:rPr>
            <w:t xml:space="preserve"> </w:t>
          </w:r>
          <w:r>
            <w:rPr>
              <w:szCs w:val="24"/>
              <w:lang w:eastAsia="lt-LT"/>
            </w:rPr>
            <w:t>......................................................................................................................</w:t>
          </w:r>
        </w:p>
        <w:p>
          <w:pPr>
            <w:tabs>
              <w:tab w:val="center" w:pos="4680"/>
              <w:tab w:val="right" w:leader="dot" w:pos="9072"/>
              <w:tab w:val="right" w:pos="9360"/>
            </w:tabs>
            <w:ind w:firstLine="1900"/>
            <w:jc w:val="center"/>
            <w:rPr>
              <w:bCs/>
              <w:sz w:val="16"/>
              <w:szCs w:val="22"/>
              <w:lang w:eastAsia="lt-LT"/>
            </w:rPr>
          </w:pPr>
          <w:r>
            <w:rPr>
              <w:bCs/>
              <w:sz w:val="16"/>
              <w:szCs w:val="22"/>
              <w:lang w:eastAsia="lt-LT"/>
            </w:rPr>
            <w:t>(vykdomosios bylos vykdymo išlaidų padengimas, turto įkeitimas, hipoteka, garantija, laidavimas ir pan.)</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 xml:space="preserve">Sprendimas turi būti įgyvendintas (sudaryta Mokestinės paskolos sutartis) ne vėliau kaip per 10 darbo dienų nuo Sprendimo priėmimo dienos, sudarius Mokestinės paskolos sutartį. Jeigu per šį terminą Mokestinės paskolos sutartis nesudaroma, Sprendimas netenka galios nuo jo priėmimo dienos. / Sprendimas turi būti įgyvendintas (sudaryta Mokestinės paskolos sutartis) ne vėliau kaip per 20 darbo dienų nuo Sprendimo priėmimo dienos, sudarius Mokestinės paskolos sutartį. Mokesčių mokėtojo motyvuotu prašymu šis terminas gali būti pratęstas iki 40 darbo dienų. Tuo atveju, kai per nustatytus terminus Mokestinės paskolos sutartis nesudaroma, Sprendimas netenka galios nuo jo priėmimo dienos. </w:t>
          </w:r>
        </w:p>
        <w:p>
          <w:pPr>
            <w:ind w:firstLine="709"/>
            <w:jc w:val="both"/>
          </w:pPr>
          <w:r>
            <w:t xml:space="preserve">Mokestinės paskolos sutartį galima pasirašyti, prisijungus prie </w:t>
          </w:r>
          <w:r>
            <w:rPr>
              <w:color w:val="000000"/>
            </w:rPr>
            <w:t>Valstybinės mokesčių inspekcijos</w:t>
          </w:r>
          <w:r>
            <w:t xml:space="preserve"> portalo e. VMI autorizuotų elektroninių paslaugų srities Mano VMI arba atvykus į Valstybinę mokesčių inspekciją, arba ji išsiunčiama mokesčių mokėtojui paštu.</w:t>
          </w:r>
        </w:p>
        <w:p>
          <w:pPr>
            <w:tabs>
              <w:tab w:val="right" w:leader="dot" w:pos="9072"/>
            </w:tabs>
            <w:ind w:firstLine="709"/>
            <w:jc w:val="both"/>
          </w:pPr>
        </w:p>
        <w:p>
          <w:pPr>
            <w:tabs>
              <w:tab w:val="right" w:leader="dot" w:pos="9072"/>
            </w:tabs>
            <w:ind w:firstLine="709"/>
            <w:jc w:val="both"/>
          </w:pPr>
          <w:r>
            <w:t>Sprendimas gali būti skundžiamas Lietuvos Respublikos ikiteisminio administracinių ginčų nagrinėjimo tvarkos įstatymo arba Lietuvos Respublikos administracinių bylų teisenos įstatymo nustatyta tvarka pasirinktinai: Lietuvos administracinių ginčų komisijai (Vilniaus g. 27, 01402 Vilnius)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Sprendimo įteikimo dienos.</w:t>
          </w:r>
        </w:p>
        <w:p>
          <w:pPr>
            <w:tabs>
              <w:tab w:val="left" w:leader="dot" w:pos="3289"/>
              <w:tab w:val="left" w:pos="3816"/>
              <w:tab w:val="center" w:pos="4680"/>
              <w:tab w:val="left" w:leader="underscore" w:pos="5808"/>
              <w:tab w:val="left" w:pos="6360"/>
              <w:tab w:val="left" w:leader="dot" w:pos="9071"/>
              <w:tab w:val="right" w:pos="9360"/>
            </w:tabs>
            <w:rPr>
              <w:color w:val="000000"/>
              <w:sz w:val="22"/>
              <w:szCs w:val="24"/>
              <w:lang w:eastAsia="lt-LT"/>
            </w:rPr>
          </w:pPr>
        </w:p>
        <w:p>
          <w:pPr>
            <w:tabs>
              <w:tab w:val="left" w:leader="dot" w:pos="3289"/>
              <w:tab w:val="left" w:pos="3816"/>
              <w:tab w:val="center" w:pos="4680"/>
              <w:tab w:val="left" w:leader="underscore" w:pos="5808"/>
              <w:tab w:val="left" w:pos="6360"/>
              <w:tab w:val="left" w:leader="dot" w:pos="9071"/>
              <w:tab w:val="right" w:pos="9360"/>
            </w:tabs>
            <w:rPr>
              <w:color w:val="000000"/>
              <w:sz w:val="22"/>
              <w:szCs w:val="24"/>
              <w:lang w:eastAsia="lt-LT"/>
            </w:rPr>
          </w:pPr>
        </w:p>
        <w:p>
          <w:pPr>
            <w:tabs>
              <w:tab w:val="left" w:leader="dot" w:pos="3289"/>
              <w:tab w:val="left" w:pos="3816"/>
              <w:tab w:val="center" w:pos="4680"/>
              <w:tab w:val="left" w:leader="underscore" w:pos="5808"/>
              <w:tab w:val="left" w:pos="6360"/>
              <w:tab w:val="left" w:leader="dot" w:pos="9071"/>
              <w:tab w:val="right" w:pos="9360"/>
            </w:tabs>
            <w:rPr>
              <w:color w:val="000000"/>
              <w:sz w:val="16"/>
              <w:szCs w:val="22"/>
              <w:lang w:eastAsia="lt-LT"/>
            </w:rPr>
          </w:pPr>
          <w:r>
            <w:rPr>
              <w:color w:val="000000"/>
              <w:sz w:val="16"/>
              <w:szCs w:val="22"/>
              <w:lang w:eastAsia="lt-LT"/>
            </w:rPr>
            <w:tab/>
            <w:tab/>
            <w:t xml:space="preserve">           …………………………..                          ……………………………………………</w:t>
          </w:r>
        </w:p>
        <w:p>
          <w:pPr>
            <w:tabs>
              <w:tab w:val="left" w:pos="4512"/>
              <w:tab w:val="center" w:pos="4680"/>
              <w:tab w:val="left" w:pos="6360"/>
              <w:tab w:val="left" w:leader="dot" w:pos="9071"/>
              <w:tab w:val="right" w:pos="9360"/>
            </w:tabs>
            <w:ind w:firstLine="760"/>
            <w:rPr>
              <w:color w:val="000000"/>
              <w:sz w:val="16"/>
              <w:szCs w:val="22"/>
              <w:lang w:eastAsia="lt-LT"/>
            </w:rPr>
          </w:pPr>
          <w:r>
            <w:rPr>
              <w:color w:val="000000"/>
              <w:sz w:val="16"/>
              <w:szCs w:val="22"/>
              <w:lang w:eastAsia="lt-LT"/>
            </w:rPr>
            <w:t>(pareigų pavadinimas)</w:t>
            <w:tab/>
            <w:t xml:space="preserve">     (parašas)</w:t>
            <w:tab/>
            <w:t xml:space="preserve">                              (vardas ir pavardė)</w:t>
          </w:r>
        </w:p>
        <w:p>
          <w:pPr>
            <w:tabs>
              <w:tab w:val="left" w:pos="4512"/>
              <w:tab w:val="center" w:pos="4680"/>
              <w:tab w:val="left" w:pos="6360"/>
              <w:tab w:val="left" w:leader="dot" w:pos="9071"/>
              <w:tab w:val="right" w:pos="9360"/>
            </w:tabs>
            <w:rPr>
              <w:color w:val="000000"/>
              <w:sz w:val="16"/>
              <w:szCs w:val="22"/>
              <w:lang w:eastAsia="lt-LT"/>
            </w:rPr>
          </w:pPr>
        </w:p>
        <w:p>
          <w:pPr>
            <w:tabs>
              <w:tab w:val="left" w:pos="4512"/>
              <w:tab w:val="center" w:pos="4680"/>
              <w:tab w:val="left" w:pos="6360"/>
              <w:tab w:val="left" w:leader="dot" w:pos="9071"/>
              <w:tab w:val="right" w:pos="9360"/>
            </w:tabs>
            <w:rPr>
              <w:color w:val="000000"/>
              <w:sz w:val="16"/>
              <w:szCs w:val="22"/>
              <w:lang w:eastAsia="lt-LT"/>
            </w:rPr>
          </w:pPr>
        </w:p>
        <w:p>
          <w:pPr>
            <w:jc w:val="both"/>
            <w:rPr>
              <w:sz w:val="16"/>
              <w:szCs w:val="16"/>
            </w:rPr>
          </w:pPr>
          <w:r>
            <w:rPr>
              <w:sz w:val="16"/>
              <w:szCs w:val="16"/>
            </w:rPr>
            <w:t>(rengėjo nuoroda)</w:t>
          </w:r>
        </w:p>
        <w:p>
          <w:pPr>
            <w:jc w:val="both"/>
            <w:rPr>
              <w:sz w:val="16"/>
              <w:szCs w:val="16"/>
            </w:rPr>
          </w:pPr>
        </w:p>
        <w:sdt>
          <w:sdtPr>
            <w:alias w:val="pabaiga"/>
            <w:tag w:val="part_46218b74062646c9a0bde8147554f1ac"/>
            <w:lock w:val="sdtLocked"/>
            <w:richText/>
          </w:sdtPr>
          <w:sdtContent>
            <w:p>
              <w:pPr>
                <w:widowControl w:val="0"/>
                <w:tabs>
                  <w:tab w:val="right" w:leader="underscore" w:pos="9072"/>
                </w:tabs>
                <w:jc w:val="center"/>
              </w:pPr>
              <w:r>
                <w:t>___________________</w:t>
              </w:r>
            </w:p>
          </w:sdtContent>
        </w:sdt>
      </w:sdtContent>
    </w:sdt>
    <w:sdt>
      <w:sdtPr>
        <w:alias w:val="pr."/>
        <w:tag w:val="part_fcfe65cda891426b8b1541528ab91ac7"/>
        <w:lock w:val="sdtLocked"/>
        <w:richText/>
      </w:sdtPr>
      <w:sdtContent>
        <w:p>
          <w:pPr>
            <w:jc w:val="both"/>
            <w:sectPr>
              <w:headerReference w:type="default" r:id="rId27"/>
              <w:headerReference w:type="first" r:id="rId28"/>
              <w:pgSz w:w="11907" w:h="16840" w:code="9"/>
              <w:pgMar w:top="1134" w:right="567" w:bottom="1134" w:left="1701" w:header="567" w:footer="567" w:gutter="0"/>
              <w:pgNumType w:start="2"/>
              <w:cols w:space="1296"/>
              <w:titlePg/>
              <w:docGrid w:linePitch="326"/>
            </w:sectPr>
          </w:pPr>
        </w:p>
        <w:p>
          <w:pPr>
            <w:widowControl w:val="0"/>
            <w:tabs>
              <w:tab w:val="left" w:leader="dot" w:pos="993"/>
              <w:tab w:val="left" w:leader="dot" w:pos="1992"/>
              <w:tab w:val="left" w:leader="dot" w:pos="3384"/>
            </w:tabs>
            <w:spacing w:line="144" w:lineRule="atLeast"/>
            <w:ind w:left="3544" w:right="-807"/>
          </w:pPr>
          <w:r>
            <w:rPr>
              <w:color w:val="000000"/>
            </w:rPr>
            <w:t>PATVIRTINTA</w:t>
          </w:r>
        </w:p>
        <w:p>
          <w:pPr>
            <w:widowControl w:val="0"/>
            <w:tabs>
              <w:tab w:val="left" w:leader="dot" w:pos="993"/>
              <w:tab w:val="left" w:leader="dot" w:pos="1992"/>
              <w:tab w:val="left" w:leader="dot" w:pos="3384"/>
            </w:tabs>
            <w:spacing w:line="144" w:lineRule="atLeast"/>
            <w:ind w:left="3544" w:right="-807"/>
            <w:rPr>
              <w:color w:val="000000"/>
            </w:rPr>
          </w:pPr>
          <w:r>
            <w:rPr>
              <w:color w:val="000000"/>
            </w:rPr>
            <w:t xml:space="preserve">Valstybinės mokesčių inspekcijos prie </w:t>
          </w:r>
        </w:p>
        <w:p>
          <w:pPr>
            <w:widowControl w:val="0"/>
            <w:tabs>
              <w:tab w:val="left" w:leader="dot" w:pos="993"/>
              <w:tab w:val="left" w:leader="dot" w:pos="1992"/>
              <w:tab w:val="left" w:leader="dot" w:pos="3384"/>
            </w:tabs>
            <w:spacing w:line="144" w:lineRule="atLeast"/>
            <w:ind w:left="3544" w:right="-807"/>
            <w:rPr>
              <w:color w:val="000000"/>
            </w:rPr>
          </w:pPr>
          <w:r>
            <w:rPr>
              <w:color w:val="000000"/>
            </w:rPr>
            <w:t xml:space="preserve">Lietuvos Respublikos finansų ministerijos viršininko </w:t>
          </w:r>
        </w:p>
        <w:p>
          <w:pPr>
            <w:widowControl w:val="0"/>
            <w:tabs>
              <w:tab w:val="left" w:leader="dot" w:pos="993"/>
              <w:tab w:val="left" w:leader="dot" w:pos="1992"/>
              <w:tab w:val="left" w:leader="dot" w:pos="3384"/>
            </w:tabs>
            <w:spacing w:line="144" w:lineRule="atLeast"/>
            <w:ind w:left="3544" w:right="-807"/>
            <w:rPr>
              <w:color w:val="000000"/>
            </w:rPr>
          </w:pPr>
          <w:r>
            <w:rPr>
              <w:color w:val="000000"/>
            </w:rPr>
            <w:t>2024 m. spalio 23 d. įsakymu Nr. VA-83</w:t>
          </w:r>
        </w:p>
        <w:p>
          <w:pPr>
            <w:tabs>
              <w:tab w:val="right" w:leader="dot" w:pos="9072"/>
            </w:tabs>
            <w:jc w:val="center"/>
            <w:rPr>
              <w:color w:val="000000"/>
            </w:rPr>
          </w:pPr>
        </w:p>
        <w:p>
          <w:pPr>
            <w:tabs>
              <w:tab w:val="right" w:leader="dot" w:pos="9072"/>
            </w:tabs>
            <w:jc w:val="center"/>
            <w:rPr>
              <w:b/>
              <w:color w:val="000000"/>
            </w:rPr>
          </w:pPr>
        </w:p>
        <w:p>
          <w:pPr>
            <w:tabs>
              <w:tab w:val="right" w:leader="dot" w:pos="9072"/>
            </w:tabs>
            <w:jc w:val="center"/>
            <w:rPr>
              <w:b/>
              <w:color w:val="000000"/>
            </w:rPr>
          </w:pPr>
          <w:r>
            <w:rPr>
              <w:b/>
              <w:color w:val="000000"/>
            </w:rPr>
            <w:t>(Sprendimo nutraukti mokestinės paskolos sutartį FR0286 forma)</w:t>
          </w:r>
        </w:p>
        <w:p>
          <w:pPr>
            <w:tabs>
              <w:tab w:val="right" w:leader="dot" w:pos="9072"/>
            </w:tabs>
            <w:jc w:val="center"/>
            <w:rPr>
              <w:b/>
              <w:color w:val="000000"/>
            </w:rPr>
          </w:pPr>
        </w:p>
        <w:p>
          <w:pPr>
            <w:tabs>
              <w:tab w:val="right" w:leader="dot" w:pos="9072"/>
            </w:tabs>
            <w:jc w:val="center"/>
            <w:rPr>
              <w:b/>
              <w:color w:val="000000"/>
            </w:rPr>
          </w:pPr>
          <w:r>
            <w:rPr>
              <w:color w:val="000000"/>
              <w:szCs w:val="24"/>
              <w:lang w:eastAsia="lt-LT"/>
            </w:rPr>
            <w:drawing>
              <wp:inline distT="0" distB="0" distL="0" distR="0">
                <wp:extent cx="541020" cy="55626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right" w:leader="dot" w:pos="9072"/>
            </w:tabs>
            <w:jc w:val="center"/>
            <w:rPr>
              <w:b/>
              <w:color w:val="000000"/>
            </w:rPr>
          </w:pPr>
        </w:p>
        <w:p>
          <w:pPr>
            <w:tabs>
              <w:tab w:val="right" w:leader="dot" w:pos="9072"/>
            </w:tabs>
            <w:jc w:val="center"/>
            <w:rPr>
              <w:b/>
              <w:color w:val="000000"/>
            </w:rPr>
          </w:pPr>
          <w:r>
            <w:rPr>
              <w:b/>
              <w:color w:val="000000"/>
            </w:rPr>
            <w:t>VALSTYBINĖ MOKESČIŲ INSPEKCIJA</w:t>
          </w:r>
        </w:p>
        <w:p>
          <w:pPr>
            <w:tabs>
              <w:tab w:val="right" w:leader="dot" w:pos="9072"/>
            </w:tabs>
            <w:jc w:val="center"/>
            <w:rPr>
              <w:bCs/>
              <w:sz w:val="20"/>
            </w:rPr>
          </w:pPr>
          <w:r>
            <w:rPr>
              <w:b/>
              <w:color w:val="000000"/>
            </w:rPr>
            <w:t>PRIE LIETUVOS RESPUBLIKOS FINANSŲ MINISTERIJOS</w:t>
          </w:r>
        </w:p>
        <w:p>
          <w:pPr>
            <w:widowControl w:val="0"/>
            <w:spacing w:line="257" w:lineRule="atLeast"/>
            <w:jc w:val="center"/>
            <w:rPr>
              <w:b/>
              <w:bCs/>
              <w:color w:val="000000"/>
              <w:szCs w:val="28"/>
            </w:rPr>
          </w:pPr>
        </w:p>
        <w:p>
          <w:pPr>
            <w:widowControl w:val="0"/>
            <w:spacing w:line="257" w:lineRule="atLeast"/>
            <w:ind w:right="-694"/>
            <w:jc w:val="center"/>
            <w:rPr>
              <w:b/>
              <w:bCs/>
              <w:color w:val="000000"/>
              <w:szCs w:val="28"/>
            </w:rPr>
          </w:pPr>
          <w:r>
            <w:rPr>
              <w:b/>
              <w:bCs/>
              <w:color w:val="000000"/>
              <w:szCs w:val="28"/>
            </w:rPr>
            <w:t>SPRENDIMAS</w:t>
          </w:r>
        </w:p>
        <w:p>
          <w:pPr>
            <w:widowControl w:val="0"/>
            <w:spacing w:line="257" w:lineRule="atLeast"/>
            <w:ind w:right="-694" w:firstLine="62"/>
            <w:jc w:val="center"/>
            <w:rPr>
              <w:b/>
              <w:bCs/>
              <w:color w:val="000000"/>
              <w:szCs w:val="28"/>
            </w:rPr>
          </w:pPr>
          <w:r>
            <w:rPr>
              <w:b/>
              <w:bCs/>
              <w:color w:val="000000"/>
              <w:szCs w:val="28"/>
            </w:rPr>
            <w:t>NUTRAUKTI MOKESTINĖS PASKOLOS SUTARTĮ FR0286</w:t>
          </w:r>
        </w:p>
        <w:p>
          <w:pPr>
            <w:tabs>
              <w:tab w:val="left" w:pos="851"/>
            </w:tabs>
            <w:ind w:right="-694"/>
            <w:jc w:val="center"/>
            <w:rPr>
              <w:color w:val="000000"/>
              <w:sz w:val="16"/>
            </w:rPr>
          </w:pPr>
        </w:p>
        <w:tbl>
          <w:tblPr>
            <w:tblW w:w="0" w:type="auto"/>
            <w:jc w:val="center"/>
            <w:tblLayout w:type="fixed"/>
            <w:tblCellMar>
              <w:left w:w="0" w:type="dxa"/>
              <w:right w:w="0" w:type="dxa"/>
            </w:tblCellMar>
            <w:tblLook w:val="0000" w:firstRow="0" w:lastRow="0" w:firstColumn="0" w:lastColumn="0" w:noHBand="0" w:noVBand="0"/>
          </w:tblPr>
          <w:tblGrid>
            <w:gridCol w:w="1985"/>
            <w:gridCol w:w="647"/>
            <w:gridCol w:w="1938"/>
          </w:tblGrid>
          <w:tr>
            <w:trPr>
              <w:jc w:val="center"/>
            </w:trPr>
            <w:tc>
              <w:tcPr>
                <w:tcW w:w="1985" w:type="dxa"/>
              </w:tcPr>
              <w:p>
                <w:pPr>
                  <w:tabs>
                    <w:tab w:val="left" w:leader="dot" w:pos="1698"/>
                  </w:tabs>
                  <w:ind w:right="-694"/>
                  <w:rPr>
                    <w:color w:val="000000"/>
                  </w:rPr>
                </w:pPr>
                <w:r>
                  <w:rPr>
                    <w:color w:val="000000"/>
                    <w:sz w:val="16"/>
                  </w:rPr>
                  <w:tab/>
                </w:r>
              </w:p>
            </w:tc>
            <w:tc>
              <w:tcPr>
                <w:tcW w:w="647" w:type="dxa"/>
              </w:tcPr>
              <w:p>
                <w:pPr>
                  <w:ind w:right="-694" w:firstLine="186"/>
                  <w:rPr>
                    <w:color w:val="000000"/>
                  </w:rPr>
                </w:pPr>
                <w:r>
                  <w:rPr>
                    <w:color w:val="000000"/>
                  </w:rPr>
                  <w:t>Nr.</w:t>
                </w:r>
              </w:p>
            </w:tc>
            <w:tc>
              <w:tcPr>
                <w:tcW w:w="1938" w:type="dxa"/>
              </w:tcPr>
              <w:p>
                <w:pPr>
                  <w:tabs>
                    <w:tab w:val="left" w:leader="dot" w:pos="1695"/>
                  </w:tabs>
                  <w:ind w:right="-694"/>
                  <w:rPr>
                    <w:color w:val="000000"/>
                  </w:rPr>
                </w:pPr>
                <w:r>
                  <w:rPr>
                    <w:color w:val="000000"/>
                    <w:sz w:val="16"/>
                  </w:rPr>
                  <w:tab/>
                </w:r>
              </w:p>
            </w:tc>
          </w:tr>
          <w:tr>
            <w:trPr>
              <w:jc w:val="center"/>
            </w:trPr>
            <w:tc>
              <w:tcPr>
                <w:tcW w:w="1985" w:type="dxa"/>
              </w:tcPr>
              <w:p>
                <w:pPr>
                  <w:tabs>
                    <w:tab w:val="left" w:pos="318"/>
                  </w:tabs>
                  <w:ind w:right="-694" w:firstLine="584"/>
                  <w:rPr>
                    <w:color w:val="000000"/>
                  </w:rPr>
                </w:pPr>
                <w:r>
                  <w:rPr>
                    <w:color w:val="000000"/>
                    <w:sz w:val="16"/>
                  </w:rPr>
                  <w:t>(data)</w:t>
                </w:r>
              </w:p>
            </w:tc>
            <w:tc>
              <w:tcPr>
                <w:tcW w:w="647" w:type="dxa"/>
              </w:tcPr>
              <w:p>
                <w:pPr>
                  <w:ind w:right="-694"/>
                  <w:jc w:val="center"/>
                  <w:rPr>
                    <w:color w:val="000000"/>
                  </w:rPr>
                </w:pPr>
              </w:p>
            </w:tc>
            <w:tc>
              <w:tcPr>
                <w:tcW w:w="1938" w:type="dxa"/>
              </w:tcPr>
              <w:p>
                <w:pPr>
                  <w:tabs>
                    <w:tab w:val="left" w:pos="157"/>
                  </w:tabs>
                  <w:ind w:right="-694" w:firstLine="76"/>
                  <w:rPr>
                    <w:color w:val="000000"/>
                  </w:rPr>
                </w:pPr>
                <w:r>
                  <w:rPr>
                    <w:color w:val="000000"/>
                    <w:sz w:val="16"/>
                  </w:rPr>
                  <w:t>(registracijos numeris)</w:t>
                </w:r>
              </w:p>
            </w:tc>
          </w:tr>
          <w:tr>
            <w:trPr>
              <w:jc w:val="center"/>
            </w:trPr>
            <w:tc>
              <w:tcPr>
                <w:tcW w:w="4570" w:type="dxa"/>
                <w:gridSpan w:val="3"/>
              </w:tcPr>
              <w:p>
                <w:pPr>
                  <w:tabs>
                    <w:tab w:val="left" w:leader="dot" w:pos="2268"/>
                  </w:tabs>
                  <w:ind w:right="-694"/>
                  <w:jc w:val="center"/>
                  <w:rPr>
                    <w:color w:val="000000"/>
                  </w:rPr>
                </w:pPr>
                <w:r>
                  <w:rPr>
                    <w:color w:val="000000"/>
                    <w:sz w:val="16"/>
                  </w:rPr>
                  <w:tab/>
                </w:r>
              </w:p>
            </w:tc>
          </w:tr>
          <w:tr>
            <w:trPr>
              <w:jc w:val="center"/>
            </w:trPr>
            <w:tc>
              <w:tcPr>
                <w:tcW w:w="4570" w:type="dxa"/>
                <w:gridSpan w:val="3"/>
              </w:tcPr>
              <w:p>
                <w:pPr>
                  <w:ind w:right="-694"/>
                  <w:jc w:val="center"/>
                  <w:rPr>
                    <w:color w:val="000000"/>
                  </w:rPr>
                </w:pPr>
                <w:r>
                  <w:rPr>
                    <w:color w:val="000000"/>
                    <w:sz w:val="16"/>
                  </w:rPr>
                  <w:t>(sudarymo vieta)</w:t>
                </w:r>
              </w:p>
            </w:tc>
          </w:tr>
        </w:tbl>
        <w:p>
          <w:pPr>
            <w:tabs>
              <w:tab w:val="right" w:leader="dot" w:pos="9072"/>
            </w:tabs>
            <w:ind w:right="-694"/>
            <w:rPr>
              <w:color w:val="000000"/>
            </w:rPr>
          </w:pPr>
        </w:p>
        <w:p>
          <w:pPr>
            <w:tabs>
              <w:tab w:val="right" w:leader="dot" w:pos="9180"/>
            </w:tabs>
            <w:ind w:firstLine="567"/>
            <w:jc w:val="both"/>
            <w:rPr>
              <w:color w:val="000000"/>
            </w:rPr>
          </w:pPr>
          <w:r>
            <w:rPr>
              <w:color w:val="000000"/>
            </w:rPr>
            <w:t xml:space="preserve">Vadovaudamasis </w:t>
          </w:r>
          <w:r>
            <w:rPr>
              <w:i/>
              <w:color w:val="000000"/>
              <w:szCs w:val="24"/>
            </w:rPr>
            <w:t>(</w:t>
          </w:r>
          <w:r>
            <w:rPr>
              <w:bCs/>
              <w:iCs/>
              <w:color w:val="000000"/>
              <w:szCs w:val="24"/>
              <w:shd w:val="clear" w:color="auto" w:fill="FFFFFF"/>
            </w:rPr>
            <w:t>-si)</w:t>
          </w:r>
          <w:r>
            <w:rPr>
              <w:color w:val="000000"/>
            </w:rPr>
            <w:t xml:space="preserve"> Lietuvos Respublikos mokesčių administravimo įstatymo 14 straipsnio 7 dalimi ir 88 straipsniu, šiuo Valstybinės mokesčių inspekcijos prie Lietuvos Respublikos finansų ministerijos viršininko įsakymu patvirtintomis Mokestinės nepriemokos ar baudos už administracinį nusižengimą mokėjimo atidėjimo ir (ar) išdėstymo taisyklėmis, </w:t>
          </w:r>
        </w:p>
        <w:p>
          <w:pPr>
            <w:tabs>
              <w:tab w:val="right" w:leader="dot" w:pos="9180"/>
            </w:tabs>
            <w:jc w:val="both"/>
            <w:rPr>
              <w:b/>
              <w:color w:val="000000"/>
            </w:rPr>
          </w:pPr>
          <w:r>
            <w:rPr>
              <w:color w:val="000000"/>
            </w:rPr>
            <w:t xml:space="preserve">remdamasis </w:t>
          </w:r>
          <w:r>
            <w:rPr>
              <w:szCs w:val="24"/>
            </w:rPr>
            <w:t>(</w:t>
          </w:r>
          <w:r>
            <w:rPr>
              <w:bCs/>
              <w:iCs/>
              <w:szCs w:val="24"/>
              <w:shd w:val="clear" w:color="auto" w:fill="FFFFFF"/>
            </w:rPr>
            <w:t>-si)</w:t>
          </w:r>
          <w:r>
            <w:rPr>
              <w:bCs/>
              <w:i/>
              <w:iCs/>
              <w:szCs w:val="24"/>
              <w:shd w:val="clear" w:color="auto" w:fill="FFFFFF"/>
            </w:rPr>
            <w:t xml:space="preserve"> </w:t>
          </w:r>
          <w:r>
            <w:rPr>
              <w:color w:val="000000"/>
              <w:sz w:val="16"/>
            </w:rPr>
            <w:tab/>
          </w:r>
          <w:r>
            <w:rPr>
              <w:color w:val="000000"/>
            </w:rPr>
            <w:t>,</w:t>
          </w:r>
        </w:p>
        <w:p>
          <w:pPr>
            <w:tabs>
              <w:tab w:val="left" w:pos="3360"/>
              <w:tab w:val="right" w:leader="dot" w:pos="9072"/>
            </w:tabs>
            <w:jc w:val="center"/>
          </w:pPr>
          <w:r>
            <w:rPr>
              <w:color w:val="000000"/>
              <w:sz w:val="16"/>
            </w:rPr>
            <w:t>(dokumento sudarytojo pavadinimas, išvados pavadinimas, data ir numeris)</w:t>
          </w:r>
        </w:p>
        <w:p>
          <w:pPr>
            <w:tabs>
              <w:tab w:val="right" w:leader="dot" w:pos="9072"/>
            </w:tabs>
            <w:jc w:val="both"/>
            <w:rPr>
              <w:lang w:val="en-US"/>
            </w:rPr>
          </w:pPr>
          <w:r>
            <w:t xml:space="preserve">n u s p r e n d ž i u  nutraukti toliau nurodytą Mokestinės paskolos sutartį, kuri buvo sudaryta pagal toliau nurodytą sprendimą.</w:t>
          </w:r>
        </w:p>
        <w:p>
          <w:pPr>
            <w:tabs>
              <w:tab w:val="right" w:leader="dot" w:pos="9072"/>
            </w:tabs>
            <w:jc w:val="both"/>
            <w:rPr>
              <w:sz w:val="16"/>
            </w:rPr>
          </w:pPr>
        </w:p>
        <w:p>
          <w:pPr>
            <w:tabs>
              <w:tab w:val="right" w:leader="dot" w:pos="9180"/>
            </w:tabs>
            <w:jc w:val="both"/>
            <w:rPr>
              <w:bCs/>
              <w:color w:val="000000"/>
              <w:sz w:val="16"/>
            </w:rPr>
          </w:pPr>
          <w:r>
            <w:rPr>
              <w:color w:val="000000"/>
            </w:rPr>
            <w:t xml:space="preserve">Nutraukiama Mokestinės paskolos sutartis </w:t>
          </w:r>
          <w:r>
            <w:rPr>
              <w:bCs/>
              <w:color w:val="000000"/>
              <w:sz w:val="16"/>
              <w:szCs w:val="16"/>
            </w:rPr>
            <w:t>…………………………………………………………………………..….........</w:t>
          </w:r>
        </w:p>
        <w:p>
          <w:pPr>
            <w:tabs>
              <w:tab w:val="right" w:leader="dot" w:pos="9072"/>
            </w:tabs>
            <w:ind w:firstLine="3268"/>
            <w:jc w:val="center"/>
          </w:pPr>
          <w:r>
            <w:rPr>
              <w:color w:val="000000"/>
              <w:sz w:val="16"/>
            </w:rPr>
            <w:t>(nutraukiamos Mokestinės paskolos sutarties data ir numeris)</w:t>
          </w:r>
        </w:p>
        <w:p>
          <w:pPr>
            <w:tabs>
              <w:tab w:val="right" w:leader="dot" w:pos="9072"/>
            </w:tabs>
            <w:jc w:val="both"/>
            <w:rPr>
              <w:bCs/>
              <w:color w:val="000000"/>
              <w:sz w:val="16"/>
            </w:rPr>
          </w:pPr>
          <w:r>
            <w:rPr>
              <w:color w:val="000000"/>
            </w:rPr>
            <w:t xml:space="preserve">Sprendimas, pagal kurį buvo sudaryta Mokestinės paskolos sutartis, </w:t>
          </w:r>
          <w:r>
            <w:rPr>
              <w:bCs/>
              <w:color w:val="000000"/>
              <w:sz w:val="16"/>
            </w:rPr>
            <w:t xml:space="preserve">……………………………………..........  </w:t>
          </w:r>
        </w:p>
        <w:p>
          <w:pPr>
            <w:tabs>
              <w:tab w:val="right" w:leader="dot" w:pos="9072"/>
            </w:tabs>
            <w:jc w:val="both"/>
            <w:rPr>
              <w:bCs/>
              <w:color w:val="000000"/>
              <w:sz w:val="16"/>
            </w:rPr>
          </w:pPr>
          <w:r>
            <w:rPr>
              <w:bCs/>
              <w:color w:val="000000"/>
              <w:sz w:val="16"/>
            </w:rPr>
            <w:t>…………………………………………………………………………………………………………………………………………………........ .</w:t>
          </w:r>
        </w:p>
        <w:p>
          <w:pPr>
            <w:tabs>
              <w:tab w:val="right" w:leader="dot" w:pos="9072"/>
            </w:tabs>
            <w:jc w:val="center"/>
            <w:rPr>
              <w:bCs/>
              <w:color w:val="000000"/>
              <w:sz w:val="16"/>
            </w:rPr>
          </w:pPr>
          <w:r>
            <w:rPr>
              <w:bCs/>
              <w:color w:val="000000"/>
              <w:sz w:val="16"/>
            </w:rPr>
            <w:t>(sprendimo data ir numeris)</w:t>
          </w:r>
        </w:p>
        <w:p>
          <w:pPr>
            <w:tabs>
              <w:tab w:val="left" w:pos="3975"/>
              <w:tab w:val="right" w:leader="dot" w:pos="9072"/>
            </w:tabs>
            <w:jc w:val="both"/>
            <w:rPr>
              <w:color w:val="000000"/>
            </w:rPr>
          </w:pPr>
          <w:r>
            <w:rPr>
              <w:color w:val="000000"/>
            </w:rPr>
            <w:t xml:space="preserve">Mokesčių mokėtojas </w:t>
          </w:r>
          <w:r>
            <w:rPr>
              <w:color w:val="000000"/>
              <w:sz w:val="16"/>
            </w:rPr>
            <w:t>…………………………………………………………………………………………………………………......</w:t>
          </w:r>
        </w:p>
        <w:p>
          <w:pPr>
            <w:tabs>
              <w:tab w:val="left" w:pos="2520"/>
              <w:tab w:val="right" w:leader="dot" w:pos="9072"/>
            </w:tabs>
            <w:ind w:firstLine="1254"/>
            <w:jc w:val="center"/>
            <w:rPr>
              <w:color w:val="000000"/>
              <w:sz w:val="16"/>
            </w:rPr>
          </w:pPr>
          <w:r>
            <w:rPr>
              <w:color w:val="000000"/>
              <w:sz w:val="16"/>
            </w:rPr>
            <w:t>(juridinio asmens pavadinimas, identifikacinis numeris (kodas) arba fizinio asmens vardas, pavardė,</w:t>
          </w:r>
        </w:p>
        <w:p>
          <w:pPr>
            <w:tabs>
              <w:tab w:val="left" w:pos="2520"/>
              <w:tab w:val="right" w:leader="dot" w:pos="9072"/>
            </w:tabs>
            <w:ind w:firstLine="1254"/>
            <w:jc w:val="center"/>
            <w:rPr>
              <w:sz w:val="16"/>
            </w:rPr>
          </w:pPr>
          <w:r>
            <w:rPr>
              <w:color w:val="000000"/>
              <w:sz w:val="16"/>
            </w:rPr>
            <w:t>identifikacinis numeris (asmens kodas), buveinės arba gyvenamosios vietos adresas)</w:t>
          </w:r>
        </w:p>
        <w:p>
          <w:pPr>
            <w:tabs>
              <w:tab w:val="left" w:leader="dot" w:pos="3289"/>
              <w:tab w:val="left" w:pos="3816"/>
              <w:tab w:val="center" w:pos="4680"/>
              <w:tab w:val="left" w:leader="underscore" w:pos="5808"/>
              <w:tab w:val="left" w:pos="6360"/>
              <w:tab w:val="left" w:leader="dot" w:pos="9071"/>
              <w:tab w:val="right" w:pos="9360"/>
            </w:tabs>
            <w:ind w:firstLine="567"/>
            <w:jc w:val="both"/>
            <w:rPr>
              <w:szCs w:val="24"/>
              <w:lang w:eastAsia="lt-LT"/>
            </w:rPr>
          </w:pPr>
          <w:r>
            <w:rPr>
              <w:szCs w:val="24"/>
              <w:lang w:eastAsia="lt-LT"/>
            </w:rPr>
            <w:t>Sprendimas gali būti skundžiamas Lietuvos Respublikos ikiteisminio administracinių ginčų nagrinėjimo tvarkos įstatymo arba Lietuvos Respublikos administracinių bylų teisenos įstatymo nustatyta tvarka pasirinktinai: Lietuvos administracinių ginčų komisijai (Vilniaus g. 27, 01402 Vilnius)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Sprendimo įteikimo dienos.</w:t>
          </w:r>
        </w:p>
        <w:p>
          <w:pPr>
            <w:tabs>
              <w:tab w:val="left" w:leader="dot" w:pos="3289"/>
              <w:tab w:val="left" w:pos="3816"/>
              <w:tab w:val="center" w:pos="4680"/>
              <w:tab w:val="left" w:leader="underscore" w:pos="5808"/>
              <w:tab w:val="left" w:pos="6360"/>
              <w:tab w:val="left" w:leader="dot" w:pos="9071"/>
              <w:tab w:val="right" w:pos="9360"/>
            </w:tabs>
            <w:ind w:firstLine="567"/>
            <w:jc w:val="both"/>
            <w:rPr>
              <w:color w:val="000000"/>
              <w:sz w:val="22"/>
              <w:szCs w:val="24"/>
              <w:lang w:eastAsia="lt-LT"/>
            </w:rPr>
          </w:pPr>
        </w:p>
        <w:p>
          <w:pPr>
            <w:tabs>
              <w:tab w:val="left" w:leader="dot" w:pos="3289"/>
              <w:tab w:val="left" w:pos="3816"/>
              <w:tab w:val="center" w:pos="4680"/>
              <w:tab w:val="left" w:leader="underscore" w:pos="5808"/>
              <w:tab w:val="left" w:pos="6360"/>
              <w:tab w:val="left" w:leader="dot" w:pos="9071"/>
              <w:tab w:val="right" w:pos="9360"/>
            </w:tabs>
            <w:ind w:right="-694"/>
            <w:rPr>
              <w:color w:val="000000"/>
              <w:sz w:val="16"/>
              <w:szCs w:val="22"/>
              <w:lang w:eastAsia="lt-LT"/>
            </w:rPr>
          </w:pPr>
          <w:r>
            <w:rPr>
              <w:color w:val="000000"/>
              <w:sz w:val="16"/>
              <w:szCs w:val="22"/>
              <w:lang w:eastAsia="lt-LT"/>
            </w:rPr>
            <w:tab/>
            <w:tab/>
            <w:t xml:space="preserve">…………………………..                     …………………………………………</w:t>
          </w:r>
        </w:p>
        <w:p>
          <w:pPr>
            <w:tabs>
              <w:tab w:val="center" w:pos="4536"/>
              <w:tab w:val="left" w:pos="6360"/>
              <w:tab w:val="left" w:leader="dot" w:pos="9071"/>
              <w:tab w:val="right" w:pos="9360"/>
            </w:tabs>
            <w:ind w:right="-694" w:firstLine="760"/>
            <w:rPr>
              <w:color w:val="000000"/>
              <w:sz w:val="16"/>
              <w:szCs w:val="22"/>
              <w:lang w:eastAsia="lt-LT"/>
            </w:rPr>
          </w:pPr>
          <w:r>
            <w:rPr>
              <w:color w:val="000000"/>
              <w:sz w:val="16"/>
              <w:szCs w:val="22"/>
              <w:lang w:eastAsia="lt-LT"/>
            </w:rPr>
            <w:t>(pareigų pavadinimas)</w:t>
            <w:tab/>
            <w:t>(parašas)</w:t>
            <w:tab/>
            <w:t xml:space="preserve">                  (vardas, pavardė)</w:t>
          </w:r>
        </w:p>
        <w:p>
          <w:pPr>
            <w:tabs>
              <w:tab w:val="left" w:pos="4512"/>
              <w:tab w:val="center" w:pos="4680"/>
              <w:tab w:val="left" w:pos="6360"/>
              <w:tab w:val="left" w:leader="dot" w:pos="9071"/>
              <w:tab w:val="right" w:pos="9360"/>
            </w:tabs>
            <w:ind w:right="-694"/>
            <w:rPr>
              <w:color w:val="000000"/>
              <w:sz w:val="16"/>
              <w:szCs w:val="22"/>
              <w:lang w:eastAsia="lt-LT"/>
            </w:rPr>
          </w:pPr>
        </w:p>
        <w:p>
          <w:pPr>
            <w:tabs>
              <w:tab w:val="left" w:pos="4512"/>
              <w:tab w:val="center" w:pos="4680"/>
              <w:tab w:val="left" w:pos="6360"/>
              <w:tab w:val="left" w:leader="dot" w:pos="9071"/>
              <w:tab w:val="right" w:pos="9360"/>
            </w:tabs>
            <w:ind w:right="-694" w:firstLine="38"/>
            <w:rPr>
              <w:color w:val="000000"/>
              <w:sz w:val="16"/>
              <w:szCs w:val="22"/>
              <w:lang w:eastAsia="lt-LT"/>
            </w:rPr>
          </w:pPr>
          <w:r>
            <w:rPr>
              <w:color w:val="000000"/>
              <w:sz w:val="16"/>
              <w:szCs w:val="22"/>
              <w:lang w:eastAsia="lt-LT"/>
            </w:rPr>
            <w:t>(rengėjo nuoroda)</w:t>
          </w:r>
        </w:p>
        <w:sdt>
          <w:sdtPr>
            <w:alias w:val="pabaiga"/>
            <w:tag w:val="part_f5f32c882c8c43c0a1b77542d6d670bc"/>
            <w:lock w:val="sdtLocked"/>
            <w:richText/>
          </w:sdtPr>
          <w:sdtContent>
            <w:p>
              <w:pPr>
                <w:widowControl w:val="0"/>
                <w:tabs>
                  <w:tab w:val="right" w:leader="underscore" w:pos="9072"/>
                </w:tabs>
                <w:jc w:val="center"/>
                <w:rPr>
                  <w:color w:val="000000"/>
                </w:rPr>
              </w:pPr>
              <w:r>
                <w:t>___________________</w:t>
              </w:r>
            </w:p>
          </w:sdtContent>
        </w:sdt>
      </w:sdtContent>
    </w:sdt>
    <w:sdt>
      <w:sdtPr>
        <w:alias w:val="patvirtinta"/>
        <w:tag w:val="part_7b4837c945834c43a1c8fe2662ea4c29"/>
        <w:lock w:val="sdtLocked"/>
        <w:richText/>
      </w:sdtPr>
      <w:sdtContent>
        <w:p>
          <w:pPr>
            <w:widowControl w:val="0"/>
            <w:tabs>
              <w:tab w:val="left" w:leader="dot" w:pos="851"/>
              <w:tab w:val="left" w:leader="dot" w:pos="1992"/>
              <w:tab w:val="left" w:leader="dot" w:pos="3384"/>
            </w:tabs>
            <w:spacing w:line="144" w:lineRule="atLeast"/>
            <w:jc w:val="both"/>
            <w:rPr>
              <w:color w:val="000000"/>
            </w:rPr>
          </w:pPr>
        </w:p>
        <w:p>
          <w:pPr>
            <w:widowControl w:val="0"/>
            <w:tabs>
              <w:tab w:val="left" w:leader="dot" w:pos="851"/>
              <w:tab w:val="left" w:leader="dot" w:pos="1992"/>
              <w:tab w:val="left" w:leader="dot" w:pos="3384"/>
            </w:tabs>
            <w:spacing w:line="144" w:lineRule="atLeast"/>
            <w:jc w:val="both"/>
            <w:rPr>
              <w:color w:val="000000"/>
            </w:rPr>
            <w:sectPr>
              <w:headerReference w:type="default" r:id="rId30"/>
              <w:headerReference w:type="first" r:id="rId31"/>
              <w:pgSz w:w="11907" w:h="16840" w:code="9"/>
              <w:pgMar w:top="851" w:right="567" w:bottom="851" w:left="1701" w:header="567" w:footer="567" w:gutter="0"/>
              <w:pgNumType w:start="2"/>
              <w:cols w:space="1296"/>
              <w:titlePg/>
              <w:docGrid w:linePitch="326"/>
            </w:sectPr>
          </w:pPr>
        </w:p>
        <w:p>
          <w:pPr>
            <w:widowControl w:val="0"/>
            <w:spacing w:line="144" w:lineRule="atLeast"/>
            <w:ind w:firstLine="4962"/>
            <w:rPr>
              <w:strike/>
              <w:color w:val="000000"/>
            </w:rPr>
          </w:pPr>
          <w:r>
            <w:rPr>
              <w:color w:val="000000"/>
            </w:rPr>
            <w:t>PATVIRTINTA</w:t>
          </w:r>
          <w:r>
            <w:rPr>
              <w:strike/>
              <w:color w:val="000000"/>
            </w:rPr>
            <w:t xml:space="preserve"> </w:t>
          </w:r>
        </w:p>
        <w:p>
          <w:pPr>
            <w:widowControl w:val="0"/>
            <w:spacing w:line="144" w:lineRule="atLeast"/>
            <w:ind w:firstLine="4950"/>
            <w:rPr>
              <w:color w:val="000000"/>
            </w:rPr>
          </w:pPr>
          <w:r>
            <w:rPr>
              <w:color w:val="000000"/>
            </w:rPr>
            <w:t xml:space="preserve">Valstybinės mokesčių inspekcijos prie </w:t>
          </w:r>
        </w:p>
        <w:p>
          <w:pPr>
            <w:widowControl w:val="0"/>
            <w:spacing w:line="144" w:lineRule="atLeast"/>
            <w:ind w:firstLine="4950"/>
            <w:rPr>
              <w:color w:val="000000"/>
            </w:rPr>
          </w:pPr>
          <w:r>
            <w:rPr>
              <w:color w:val="000000"/>
            </w:rPr>
            <w:t xml:space="preserve">Lietuvos Respublikos finansų ministerijos </w:t>
          </w:r>
        </w:p>
        <w:p>
          <w:pPr>
            <w:widowControl w:val="0"/>
            <w:spacing w:line="144" w:lineRule="atLeast"/>
            <w:ind w:firstLine="4950"/>
            <w:rPr>
              <w:color w:val="000000"/>
            </w:rPr>
          </w:pPr>
          <w:r>
            <w:rPr>
              <w:color w:val="000000"/>
            </w:rPr>
            <w:t xml:space="preserve">viršininko </w:t>
          </w:r>
        </w:p>
        <w:p>
          <w:pPr>
            <w:widowControl w:val="0"/>
            <w:spacing w:line="144" w:lineRule="atLeast"/>
            <w:ind w:firstLine="4950"/>
            <w:rPr>
              <w:color w:val="000000"/>
            </w:rPr>
          </w:pPr>
          <w:r>
            <w:rPr>
              <w:color w:val="000000"/>
              <w:lang w:val="en-US"/>
            </w:rPr>
            <w:t xml:space="preserve">2024 m. </w:t>
          </w:r>
          <w:r>
            <w:rPr>
              <w:color w:val="000000"/>
            </w:rPr>
            <w:t xml:space="preserve">spalio 23 </w:t>
          </w:r>
          <w:r>
            <w:rPr>
              <w:color w:val="000000"/>
              <w:lang w:val="en-US"/>
            </w:rPr>
            <w:t xml:space="preserve">d. </w:t>
          </w:r>
          <w:r>
            <w:rPr>
              <w:color w:val="000000"/>
            </w:rPr>
            <w:t>įsakymu Nr. VA-83</w:t>
          </w:r>
        </w:p>
        <w:p>
          <w:pPr>
            <w:tabs>
              <w:tab w:val="right" w:leader="dot" w:pos="9639"/>
            </w:tabs>
            <w:jc w:val="right"/>
            <w:rPr>
              <w:b/>
              <w:color w:val="000000"/>
            </w:rPr>
          </w:pPr>
        </w:p>
        <w:p>
          <w:pPr>
            <w:tabs>
              <w:tab w:val="right" w:leader="dot" w:pos="9072"/>
            </w:tabs>
            <w:jc w:val="center"/>
            <w:rPr>
              <w:b/>
              <w:color w:val="000000"/>
            </w:rPr>
          </w:pPr>
          <w:r>
            <w:rPr>
              <w:b/>
            </w:rPr>
            <w:t>(Sprendimo pakeisti Sprendimą atidėti / išdėstyti mokestinės nepriemokos / baudos už administracinį nusižengimą mokėjimą FR0287 forma)</w:t>
          </w:r>
        </w:p>
        <w:p>
          <w:pPr>
            <w:tabs>
              <w:tab w:val="right" w:leader="dot" w:pos="9072"/>
            </w:tabs>
            <w:jc w:val="center"/>
            <w:rPr>
              <w:color w:val="000000"/>
            </w:rPr>
          </w:pPr>
        </w:p>
        <w:p>
          <w:pPr>
            <w:tabs>
              <w:tab w:val="right" w:leader="dot" w:pos="9072"/>
            </w:tabs>
            <w:jc w:val="center"/>
            <w:rPr>
              <w:color w:val="000000"/>
            </w:rPr>
          </w:pPr>
          <w:r>
            <w:rPr>
              <w:color w:val="000000"/>
              <w:szCs w:val="24"/>
              <w:lang w:eastAsia="lt-LT"/>
            </w:rPr>
            <w:drawing>
              <wp:inline distT="0" distB="0" distL="0" distR="0">
                <wp:extent cx="541020" cy="556260"/>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right" w:leader="dot" w:pos="9072"/>
            </w:tabs>
            <w:jc w:val="center"/>
            <w:rPr>
              <w:color w:val="000000"/>
            </w:rPr>
          </w:pPr>
        </w:p>
        <w:p>
          <w:pPr>
            <w:tabs>
              <w:tab w:val="right" w:leader="dot" w:pos="9072"/>
            </w:tabs>
            <w:jc w:val="center"/>
            <w:rPr>
              <w:b/>
              <w:color w:val="000000"/>
            </w:rPr>
          </w:pPr>
          <w:r>
            <w:rPr>
              <w:b/>
              <w:color w:val="000000"/>
            </w:rPr>
            <w:t>VALSTYBINĖ MOKESČIŲ INSPEKCIJA</w:t>
          </w:r>
        </w:p>
        <w:p>
          <w:pPr>
            <w:tabs>
              <w:tab w:val="right" w:leader="dot" w:pos="9072"/>
            </w:tabs>
            <w:jc w:val="center"/>
            <w:rPr>
              <w:b/>
              <w:color w:val="000000"/>
            </w:rPr>
          </w:pPr>
          <w:r>
            <w:rPr>
              <w:b/>
              <w:color w:val="000000"/>
            </w:rPr>
            <w:t>PRIE LIETUVOS RESPUBLIKOS FINANSŲ MINISTERIJOS</w:t>
          </w:r>
        </w:p>
        <w:p>
          <w:pPr>
            <w:tabs>
              <w:tab w:val="right" w:leader="dot" w:pos="9072"/>
            </w:tabs>
            <w:jc w:val="center"/>
          </w:pPr>
        </w:p>
        <w:p>
          <w:pPr>
            <w:widowControl w:val="0"/>
            <w:spacing w:line="257" w:lineRule="atLeast"/>
            <w:jc w:val="center"/>
            <w:rPr>
              <w:b/>
              <w:bCs/>
              <w:color w:val="000000"/>
              <w:szCs w:val="28"/>
            </w:rPr>
          </w:pPr>
          <w:r>
            <w:rPr>
              <w:b/>
              <w:bCs/>
              <w:color w:val="000000"/>
              <w:szCs w:val="28"/>
            </w:rPr>
            <w:t>SPRENDIMAS</w:t>
          </w:r>
        </w:p>
        <w:p>
          <w:pPr>
            <w:widowControl w:val="0"/>
            <w:spacing w:line="257" w:lineRule="atLeast"/>
            <w:ind w:right="-694"/>
            <w:jc w:val="center"/>
            <w:rPr>
              <w:b/>
              <w:bCs/>
              <w:color w:val="000000"/>
              <w:szCs w:val="28"/>
            </w:rPr>
          </w:pPr>
          <w:r>
            <w:rPr>
              <w:b/>
              <w:bCs/>
              <w:color w:val="000000"/>
              <w:szCs w:val="28"/>
            </w:rPr>
            <w:t xml:space="preserve">PAKEISTI SPRENDIMĄ ATIDĖTI / IŠDĖSTYTI MOKESTINĖS NEPRIEMOKOS </w:t>
          </w:r>
        </w:p>
        <w:p>
          <w:pPr>
            <w:widowControl w:val="0"/>
            <w:spacing w:line="257" w:lineRule="atLeast"/>
            <w:ind w:right="-694"/>
            <w:jc w:val="center"/>
            <w:rPr>
              <w:b/>
              <w:bCs/>
              <w:color w:val="000000"/>
              <w:szCs w:val="28"/>
            </w:rPr>
          </w:pPr>
          <w:r>
            <w:rPr>
              <w:b/>
              <w:bCs/>
              <w:color w:val="000000"/>
              <w:szCs w:val="28"/>
            </w:rPr>
            <w:t>/ BAUDOS UŽ ADMINISTRACINĮ NUSIŽENGIMĄ MOKĖJIMĄ FR0287</w:t>
          </w:r>
        </w:p>
        <w:p>
          <w:pPr>
            <w:tabs>
              <w:tab w:val="left" w:pos="851"/>
            </w:tabs>
            <w:ind w:right="-694"/>
            <w:jc w:val="center"/>
            <w:rPr>
              <w:color w:val="000000"/>
            </w:rPr>
          </w:pPr>
        </w:p>
        <w:tbl>
          <w:tblPr>
            <w:tblW w:w="0" w:type="auto"/>
            <w:jc w:val="center"/>
            <w:tblLayout w:type="fixed"/>
            <w:tblCellMar>
              <w:left w:w="0" w:type="dxa"/>
              <w:right w:w="0" w:type="dxa"/>
            </w:tblCellMar>
            <w:tblLook w:val="0000" w:firstRow="0" w:lastRow="0" w:firstColumn="0" w:lastColumn="0" w:noHBand="0" w:noVBand="0"/>
          </w:tblPr>
          <w:tblGrid>
            <w:gridCol w:w="1985"/>
            <w:gridCol w:w="600"/>
            <w:gridCol w:w="1985"/>
          </w:tblGrid>
          <w:tr>
            <w:trPr>
              <w:jc w:val="center"/>
            </w:trPr>
            <w:tc>
              <w:tcPr>
                <w:tcW w:w="1985" w:type="dxa"/>
              </w:tcPr>
              <w:p>
                <w:pPr>
                  <w:tabs>
                    <w:tab w:val="left" w:leader="dot" w:pos="1698"/>
                  </w:tabs>
                  <w:ind w:right="-694"/>
                  <w:rPr>
                    <w:color w:val="000000"/>
                  </w:rPr>
                </w:pPr>
                <w:r>
                  <w:rPr>
                    <w:color w:val="000000"/>
                    <w:sz w:val="16"/>
                  </w:rPr>
                  <w:tab/>
                </w:r>
              </w:p>
            </w:tc>
            <w:tc>
              <w:tcPr>
                <w:tcW w:w="600" w:type="dxa"/>
              </w:tcPr>
              <w:p>
                <w:pPr>
                  <w:ind w:right="-694" w:firstLine="186"/>
                  <w:rPr>
                    <w:color w:val="000000"/>
                  </w:rPr>
                </w:pPr>
                <w:r>
                  <w:rPr>
                    <w:color w:val="000000"/>
                  </w:rPr>
                  <w:t>Nr.</w:t>
                </w:r>
              </w:p>
            </w:tc>
            <w:tc>
              <w:tcPr>
                <w:tcW w:w="1985" w:type="dxa"/>
              </w:tcPr>
              <w:p>
                <w:pPr>
                  <w:tabs>
                    <w:tab w:val="left" w:leader="dot" w:pos="1695"/>
                  </w:tabs>
                  <w:ind w:right="-694"/>
                  <w:rPr>
                    <w:color w:val="000000"/>
                  </w:rPr>
                </w:pPr>
                <w:r>
                  <w:rPr>
                    <w:color w:val="000000"/>
                    <w:sz w:val="16"/>
                  </w:rPr>
                  <w:tab/>
                </w:r>
              </w:p>
            </w:tc>
          </w:tr>
          <w:tr>
            <w:trPr>
              <w:jc w:val="center"/>
            </w:trPr>
            <w:tc>
              <w:tcPr>
                <w:tcW w:w="1985" w:type="dxa"/>
              </w:tcPr>
              <w:p>
                <w:pPr>
                  <w:tabs>
                    <w:tab w:val="left" w:pos="318"/>
                  </w:tabs>
                  <w:ind w:right="-694" w:firstLine="584"/>
                  <w:rPr>
                    <w:color w:val="000000"/>
                  </w:rPr>
                </w:pPr>
                <w:r>
                  <w:rPr>
                    <w:color w:val="000000"/>
                    <w:sz w:val="16"/>
                  </w:rPr>
                  <w:t>(data)</w:t>
                </w:r>
              </w:p>
            </w:tc>
            <w:tc>
              <w:tcPr>
                <w:tcW w:w="600" w:type="dxa"/>
              </w:tcPr>
              <w:p>
                <w:pPr>
                  <w:ind w:right="-694"/>
                  <w:jc w:val="center"/>
                  <w:rPr>
                    <w:color w:val="000000"/>
                  </w:rPr>
                </w:pPr>
              </w:p>
            </w:tc>
            <w:tc>
              <w:tcPr>
                <w:tcW w:w="1985" w:type="dxa"/>
              </w:tcPr>
              <w:p>
                <w:pPr>
                  <w:tabs>
                    <w:tab w:val="left" w:pos="157"/>
                  </w:tabs>
                  <w:ind w:right="-694" w:firstLine="157"/>
                  <w:rPr>
                    <w:color w:val="000000"/>
                  </w:rPr>
                </w:pPr>
                <w:r>
                  <w:rPr>
                    <w:color w:val="000000"/>
                    <w:sz w:val="16"/>
                  </w:rPr>
                  <w:t>(registracijos numeris)</w:t>
                </w:r>
              </w:p>
            </w:tc>
          </w:tr>
          <w:tr>
            <w:trPr>
              <w:jc w:val="center"/>
            </w:trPr>
            <w:tc>
              <w:tcPr>
                <w:tcW w:w="4570" w:type="dxa"/>
                <w:gridSpan w:val="3"/>
              </w:tcPr>
              <w:p>
                <w:pPr>
                  <w:tabs>
                    <w:tab w:val="left" w:leader="dot" w:pos="2268"/>
                  </w:tabs>
                  <w:ind w:right="-694"/>
                  <w:jc w:val="center"/>
                  <w:rPr>
                    <w:color w:val="000000"/>
                  </w:rPr>
                </w:pPr>
                <w:r>
                  <w:rPr>
                    <w:color w:val="000000"/>
                    <w:sz w:val="16"/>
                  </w:rPr>
                  <w:tab/>
                </w:r>
              </w:p>
            </w:tc>
          </w:tr>
          <w:tr>
            <w:trPr>
              <w:jc w:val="center"/>
            </w:trPr>
            <w:tc>
              <w:tcPr>
                <w:tcW w:w="4570" w:type="dxa"/>
                <w:gridSpan w:val="3"/>
              </w:tcPr>
              <w:p>
                <w:pPr>
                  <w:ind w:right="-694"/>
                  <w:jc w:val="center"/>
                  <w:rPr>
                    <w:color w:val="000000"/>
                  </w:rPr>
                </w:pPr>
                <w:r>
                  <w:rPr>
                    <w:color w:val="000000"/>
                    <w:sz w:val="16"/>
                  </w:rPr>
                  <w:t>(sudarymo vieta)</w:t>
                </w:r>
              </w:p>
            </w:tc>
          </w:tr>
        </w:tbl>
        <w:p>
          <w:pPr>
            <w:tabs>
              <w:tab w:val="right" w:leader="dot" w:pos="8280"/>
            </w:tabs>
            <w:ind w:right="-694"/>
            <w:jc w:val="both"/>
            <w:rPr>
              <w:color w:val="000000"/>
            </w:rPr>
          </w:pPr>
        </w:p>
        <w:p>
          <w:pPr>
            <w:tabs>
              <w:tab w:val="right" w:leader="dot" w:pos="9180"/>
            </w:tabs>
            <w:ind w:right="45" w:firstLine="709"/>
            <w:jc w:val="both"/>
            <w:rPr>
              <w:color w:val="000000"/>
            </w:rPr>
          </w:pPr>
          <w:r>
            <w:rPr>
              <w:color w:val="000000"/>
            </w:rPr>
            <w:t xml:space="preserve">Vadovaudamasis </w:t>
          </w:r>
          <w:r>
            <w:rPr>
              <w:szCs w:val="24"/>
            </w:rPr>
            <w:t>(</w:t>
          </w:r>
          <w:r>
            <w:rPr>
              <w:bCs/>
              <w:i/>
              <w:iCs/>
              <w:szCs w:val="24"/>
              <w:shd w:val="clear" w:color="auto" w:fill="FFFFFF"/>
            </w:rPr>
            <w:t>-</w:t>
          </w:r>
          <w:r>
            <w:rPr>
              <w:bCs/>
              <w:iCs/>
              <w:szCs w:val="24"/>
              <w:shd w:val="clear" w:color="auto" w:fill="FFFFFF"/>
            </w:rPr>
            <w:t>si)</w:t>
          </w:r>
          <w:r>
            <w:t xml:space="preserve"> </w:t>
          </w:r>
          <w:r>
            <w:rPr>
              <w:color w:val="000000"/>
            </w:rPr>
            <w:t>Lietuvos Respublikos mokesčių administravimo įstatymo 14 straipsnio 7 dalimi ir 88 straipsniu, šiuo Valstybinės mokesčių inspekcijos prie Lietuvos Respublikos finansų ministerijos viršininko įsakymu patvirtintomis Mokestinės nepriemokos ar baudos už administracinį nusižengimą mokėjimo atidėjimo ir (ar) išdėstymo taisyklėmis,</w:t>
          </w:r>
        </w:p>
        <w:p>
          <w:pPr>
            <w:tabs>
              <w:tab w:val="right" w:leader="dot" w:pos="9072"/>
            </w:tabs>
            <w:ind w:right="46"/>
            <w:rPr>
              <w:b/>
              <w:color w:val="000000"/>
            </w:rPr>
          </w:pPr>
          <w:r>
            <w:rPr>
              <w:color w:val="000000"/>
            </w:rPr>
            <w:t xml:space="preserve">remdamasis </w:t>
          </w:r>
          <w:r>
            <w:rPr>
              <w:szCs w:val="24"/>
            </w:rPr>
            <w:t>(</w:t>
          </w:r>
          <w:r>
            <w:rPr>
              <w:bCs/>
              <w:iCs/>
              <w:szCs w:val="24"/>
              <w:shd w:val="clear" w:color="auto" w:fill="FFFFFF"/>
            </w:rPr>
            <w:t>-si)</w:t>
          </w:r>
          <w:r>
            <w:rPr>
              <w:i/>
            </w:rPr>
            <w:t xml:space="preserve"> </w:t>
          </w:r>
          <w:r>
            <w:rPr>
              <w:i/>
              <w:color w:val="000000"/>
            </w:rPr>
            <w:t xml:space="preserve"> </w:t>
          </w:r>
          <w:r>
            <w:rPr>
              <w:color w:val="000000"/>
              <w:sz w:val="16"/>
            </w:rPr>
            <w:tab/>
          </w:r>
          <w:r>
            <w:rPr>
              <w:color w:val="000000"/>
            </w:rPr>
            <w:t>,</w:t>
          </w:r>
        </w:p>
        <w:p>
          <w:pPr>
            <w:tabs>
              <w:tab w:val="left" w:pos="3360"/>
              <w:tab w:val="right" w:leader="dot" w:pos="9072"/>
            </w:tabs>
            <w:ind w:right="46"/>
            <w:jc w:val="center"/>
          </w:pPr>
          <w:r>
            <w:rPr>
              <w:color w:val="000000"/>
              <w:sz w:val="16"/>
            </w:rPr>
            <w:t>(dokumento sudarytojo pavadinimas, išvados pavadinimas, data ir numeris)</w:t>
          </w:r>
        </w:p>
        <w:p>
          <w:pPr>
            <w:tabs>
              <w:tab w:val="right" w:leader="dot" w:pos="9000"/>
            </w:tabs>
            <w:ind w:right="45" w:firstLine="709"/>
            <w:jc w:val="both"/>
            <w:rPr>
              <w:sz w:val="16"/>
            </w:rPr>
          </w:pPr>
          <w:r>
            <w:rPr>
              <w:spacing w:val="80"/>
            </w:rPr>
            <w:t>nusprendžiu</w:t>
          </w:r>
          <w:r>
            <w:t xml:space="preserve"> pakeisti toliau nurodytą Sprendimą atidėti / išdėstyti mokestinės nepriemokos / baudos už administracinį nusižengimą mokėjimą bei Mokestinės paskolos sutartį ir atidėti / išdėstyti nurodytos mokestinės nepriemokos / baudos už administracinį nusižengimą mokėjimą nurodytam laikotarpiui. </w:t>
          </w:r>
        </w:p>
        <w:p>
          <w:pPr>
            <w:tabs>
              <w:tab w:val="right" w:leader="dot" w:pos="9072"/>
            </w:tabs>
            <w:ind w:right="-874"/>
            <w:rPr>
              <w:b/>
              <w:color w:val="000000"/>
              <w:sz w:val="20"/>
            </w:rPr>
          </w:pPr>
        </w:p>
        <w:p>
          <w:pPr>
            <w:tabs>
              <w:tab w:val="right" w:leader="dot" w:pos="9072"/>
            </w:tabs>
            <w:ind w:right="-874"/>
            <w:rPr>
              <w:bCs/>
              <w:color w:val="000000"/>
              <w:sz w:val="16"/>
            </w:rPr>
          </w:pPr>
          <w:r>
            <w:rPr>
              <w:color w:val="000000"/>
            </w:rPr>
            <w:t>Sprendimas</w:t>
          </w:r>
          <w:r>
            <w:rPr>
              <w:bCs/>
              <w:color w:val="000000"/>
              <w:sz w:val="16"/>
            </w:rPr>
            <w:t>………………………………………………………………………………………………………………..............................</w:t>
          </w:r>
        </w:p>
        <w:p>
          <w:pPr>
            <w:tabs>
              <w:tab w:val="left" w:pos="3360"/>
              <w:tab w:val="right" w:leader="dot" w:pos="9072"/>
            </w:tabs>
            <w:ind w:firstLine="3360"/>
            <w:rPr>
              <w:color w:val="000000"/>
              <w:sz w:val="16"/>
            </w:rPr>
          </w:pPr>
          <w:r>
            <w:rPr>
              <w:color w:val="000000"/>
              <w:sz w:val="16"/>
            </w:rPr>
            <w:t>(keičiamo dokumento data ir numeris)</w:t>
          </w:r>
        </w:p>
        <w:p>
          <w:pPr>
            <w:tabs>
              <w:tab w:val="left" w:pos="3360"/>
              <w:tab w:val="right" w:leader="dot" w:pos="9072"/>
            </w:tabs>
            <w:ind w:right="-874"/>
            <w:rPr>
              <w:b/>
              <w:bCs/>
              <w:color w:val="000000"/>
              <w:sz w:val="20"/>
            </w:rPr>
          </w:pPr>
        </w:p>
        <w:p>
          <w:pPr>
            <w:tabs>
              <w:tab w:val="left" w:pos="3360"/>
              <w:tab w:val="right" w:leader="dot" w:pos="9072"/>
            </w:tabs>
            <w:ind w:right="-874"/>
            <w:rPr>
              <w:color w:val="000000"/>
              <w:sz w:val="16"/>
            </w:rPr>
          </w:pPr>
          <w:r>
            <w:rPr>
              <w:bCs/>
              <w:color w:val="000000"/>
            </w:rPr>
            <w:t>Mokestinės paskolos sutartis</w:t>
          </w:r>
          <w:r>
            <w:rPr>
              <w:b/>
              <w:bCs/>
              <w:color w:val="000000"/>
            </w:rPr>
            <w:t xml:space="preserve"> </w:t>
          </w:r>
          <w:r>
            <w:rPr>
              <w:color w:val="000000"/>
              <w:sz w:val="16"/>
            </w:rPr>
            <w:t>…………………………………………………………………………………................................</w:t>
          </w:r>
        </w:p>
        <w:p>
          <w:pPr>
            <w:tabs>
              <w:tab w:val="left" w:pos="3360"/>
              <w:tab w:val="right" w:leader="dot" w:pos="9072"/>
            </w:tabs>
            <w:ind w:right="-874" w:firstLine="608"/>
            <w:jc w:val="center"/>
            <w:rPr>
              <w:sz w:val="16"/>
            </w:rPr>
          </w:pPr>
          <w:r>
            <w:rPr>
              <w:color w:val="000000"/>
              <w:sz w:val="16"/>
            </w:rPr>
            <w:t>(keičiamosios mokestinės paskolos sutarties data ir numeris)</w:t>
          </w:r>
        </w:p>
        <w:p>
          <w:pPr>
            <w:tabs>
              <w:tab w:val="right" w:leader="dot" w:pos="9072"/>
            </w:tabs>
            <w:ind w:right="-694"/>
            <w:rPr>
              <w:b/>
              <w:color w:val="000000"/>
              <w:sz w:val="20"/>
            </w:rPr>
          </w:pPr>
        </w:p>
        <w:p>
          <w:pPr>
            <w:tabs>
              <w:tab w:val="right" w:leader="dot" w:pos="9180"/>
            </w:tabs>
            <w:ind w:right="-694"/>
            <w:rPr>
              <w:bCs/>
              <w:color w:val="000000"/>
              <w:sz w:val="16"/>
            </w:rPr>
          </w:pPr>
          <w:r>
            <w:rPr>
              <w:color w:val="000000"/>
            </w:rPr>
            <w:t>Pakeitimo esmė</w:t>
          </w:r>
          <w:r>
            <w:rPr>
              <w:b/>
              <w:color w:val="000000"/>
            </w:rPr>
            <w:t xml:space="preserve"> </w:t>
          </w:r>
          <w:r>
            <w:rPr>
              <w:bCs/>
              <w:color w:val="000000"/>
              <w:sz w:val="16"/>
            </w:rPr>
            <w:t>………………………………………………………………………………………………………...…………....…....</w:t>
          </w:r>
        </w:p>
        <w:p>
          <w:pPr>
            <w:tabs>
              <w:tab w:val="right" w:leader="dot" w:pos="9180"/>
            </w:tabs>
            <w:ind w:right="-694" w:firstLine="114"/>
            <w:jc w:val="center"/>
            <w:rPr>
              <w:bCs/>
              <w:color w:val="000000"/>
              <w:sz w:val="16"/>
            </w:rPr>
          </w:pPr>
          <w:r>
            <w:rPr>
              <w:bCs/>
              <w:color w:val="000000"/>
              <w:sz w:val="16"/>
            </w:rPr>
            <w:t>(pratęsiamas išdėstymo / atidėjimo laikotarpis, pakeičiamas mokėjimo grafikas,</w:t>
          </w:r>
        </w:p>
        <w:p>
          <w:pPr>
            <w:tabs>
              <w:tab w:val="right" w:leader="dot" w:pos="9180"/>
            </w:tabs>
            <w:ind w:right="-694" w:firstLine="2014"/>
            <w:rPr>
              <w:bCs/>
              <w:color w:val="000000"/>
              <w:sz w:val="16"/>
            </w:rPr>
          </w:pPr>
          <w:r>
            <w:rPr>
              <w:bCs/>
              <w:color w:val="000000"/>
              <w:sz w:val="16"/>
            </w:rPr>
            <w:t xml:space="preserve">reikalaujama papildomų sąlygų (turto įkeitimo, hipotekos, garantijų, laidavimo) ar pan.) </w:t>
          </w:r>
        </w:p>
        <w:p>
          <w:pPr>
            <w:tabs>
              <w:tab w:val="right" w:leader="dot" w:pos="9180"/>
            </w:tabs>
            <w:ind w:right="-694"/>
            <w:rPr>
              <w:bCs/>
              <w:color w:val="000000"/>
              <w:sz w:val="16"/>
            </w:rPr>
          </w:pPr>
          <w:r>
            <w:rPr>
              <w:bCs/>
              <w:color w:val="000000"/>
              <w:sz w:val="16"/>
            </w:rPr>
            <w:t>……………………………………………………………………………………………………………………………………………………..</w:t>
          </w:r>
        </w:p>
        <w:p>
          <w:pPr>
            <w:tabs>
              <w:tab w:val="right" w:leader="dot" w:pos="9072"/>
            </w:tabs>
            <w:ind w:right="-694"/>
            <w:rPr>
              <w:color w:val="000000"/>
            </w:rPr>
          </w:pPr>
          <w:r>
            <w:rPr>
              <w:color w:val="000000"/>
            </w:rPr>
            <w:t>Mokesčių mokėtojas</w:t>
          </w:r>
          <w:r>
            <w:rPr>
              <w:color w:val="000000"/>
              <w:sz w:val="16"/>
            </w:rPr>
            <w:tab/>
          </w:r>
        </w:p>
        <w:p>
          <w:pPr>
            <w:tabs>
              <w:tab w:val="left" w:pos="2520"/>
              <w:tab w:val="right" w:leader="dot" w:pos="9072"/>
            </w:tabs>
            <w:ind w:right="-694" w:firstLine="2090"/>
            <w:rPr>
              <w:color w:val="000000"/>
              <w:sz w:val="16"/>
            </w:rPr>
          </w:pPr>
          <w:r>
            <w:rPr>
              <w:color w:val="000000"/>
              <w:sz w:val="16"/>
            </w:rPr>
            <w:t>(juridinio asmens pavadinimas, identifikacinis numeris (kodas) arba fizinio asmens vardas ir pavardė,</w:t>
          </w:r>
        </w:p>
        <w:p>
          <w:pPr>
            <w:tabs>
              <w:tab w:val="left" w:pos="2520"/>
              <w:tab w:val="right" w:leader="dot" w:pos="9072"/>
            </w:tabs>
            <w:ind w:right="-694" w:firstLine="2622"/>
            <w:rPr>
              <w:sz w:val="16"/>
            </w:rPr>
          </w:pPr>
          <w:r>
            <w:rPr>
              <w:color w:val="000000"/>
              <w:sz w:val="16"/>
            </w:rPr>
            <w:t>identifikacinis numeris (asmens kodas), buveinės arba gyvenamosios vietos adresas)</w:t>
          </w:r>
        </w:p>
        <w:p>
          <w:pPr>
            <w:tabs>
              <w:tab w:val="center" w:pos="4680"/>
              <w:tab w:val="right" w:leader="dot" w:pos="9180"/>
              <w:tab w:val="right" w:pos="9360"/>
            </w:tabs>
            <w:ind w:right="-694"/>
            <w:rPr>
              <w:b/>
              <w:bCs/>
              <w:sz w:val="20"/>
              <w:szCs w:val="22"/>
              <w:lang w:eastAsia="lt-LT"/>
            </w:rPr>
          </w:pPr>
        </w:p>
        <w:p>
          <w:pPr>
            <w:tabs>
              <w:tab w:val="center" w:pos="4680"/>
              <w:tab w:val="right" w:leader="dot" w:pos="9180"/>
              <w:tab w:val="right" w:pos="9360"/>
            </w:tabs>
            <w:ind w:right="-694"/>
            <w:rPr>
              <w:szCs w:val="24"/>
              <w:lang w:eastAsia="lt-LT"/>
            </w:rPr>
          </w:pPr>
          <w:r>
            <w:rPr>
              <w:bCs/>
              <w:szCs w:val="24"/>
              <w:lang w:eastAsia="lt-LT"/>
            </w:rPr>
            <w:t>Išdėstymo / atidėjimo laikotarpis</w:t>
          </w:r>
          <w:r>
            <w:rPr>
              <w:b/>
              <w:bCs/>
              <w:szCs w:val="24"/>
              <w:lang w:eastAsia="lt-LT"/>
            </w:rPr>
            <w:t xml:space="preserve"> </w:t>
          </w:r>
          <w:r>
            <w:rPr>
              <w:szCs w:val="24"/>
              <w:lang w:eastAsia="lt-LT"/>
            </w:rPr>
            <w:t>………………………………………………………………………………………….........</w:t>
          </w:r>
        </w:p>
        <w:p>
          <w:pPr>
            <w:tabs>
              <w:tab w:val="center" w:pos="4680"/>
              <w:tab w:val="right" w:leader="dot" w:pos="9072"/>
              <w:tab w:val="right" w:pos="9360"/>
            </w:tabs>
            <w:ind w:right="-694" w:firstLine="4446"/>
            <w:jc w:val="both"/>
            <w:rPr>
              <w:sz w:val="16"/>
              <w:szCs w:val="16"/>
              <w:lang w:eastAsia="lt-LT"/>
            </w:rPr>
          </w:pPr>
          <w:r>
            <w:rPr>
              <w:sz w:val="16"/>
              <w:szCs w:val="16"/>
              <w:lang w:eastAsia="lt-LT"/>
            </w:rPr>
            <w:t>(nurodyti laikotarpį nuo–iki)</w:t>
          </w:r>
        </w:p>
        <w:tbl>
          <w:tblPr>
            <w:tblW w:w="96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60"/>
            <w:gridCol w:w="2520"/>
            <w:gridCol w:w="3723"/>
            <w:gridCol w:w="2126"/>
          </w:tblGrid>
          <w:tr>
            <w:tc>
              <w:tcPr>
                <w:tcW w:w="1260"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Įmokos kodas</w:t>
                </w:r>
              </w:p>
            </w:tc>
            <w:tc>
              <w:tcPr>
                <w:tcW w:w="2520"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Prievolės tipas</w:t>
                </w:r>
              </w:p>
            </w:tc>
            <w:tc>
              <w:tcPr>
                <w:tcW w:w="3723"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Deklaracijos / Sprendimo dėl patikrinimo akto tvirtinimo / Nutarimo data</w:t>
                </w:r>
              </w:p>
            </w:tc>
            <w:tc>
              <w:tcPr>
                <w:tcW w:w="2126"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jc w:val="center"/>
                  <w:rPr>
                    <w:szCs w:val="24"/>
                    <w:lang w:eastAsia="lt-LT"/>
                  </w:rPr>
                </w:pPr>
                <w:r>
                  <w:rPr>
                    <w:szCs w:val="24"/>
                    <w:lang w:eastAsia="lt-LT"/>
                  </w:rPr>
                  <w:t>Suma</w:t>
                </w:r>
              </w:p>
            </w:tc>
          </w:tr>
          <w:tr>
            <w:tc>
              <w:tcPr>
                <w:tcW w:w="1260" w:type="dxa"/>
                <w:tcBorders>
                  <w:top w:val="single" w:sz="4" w:space="0" w:color="auto"/>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2520" w:type="dxa"/>
                <w:tcBorders>
                  <w:top w:val="single" w:sz="4" w:space="0" w:color="auto"/>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3723" w:type="dxa"/>
                <w:tcBorders>
                  <w:top w:val="single" w:sz="4" w:space="0" w:color="auto"/>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2126" w:type="dxa"/>
                <w:tcBorders>
                  <w:top w:val="single" w:sz="4" w:space="0" w:color="auto"/>
                  <w:left w:val="single" w:sz="4" w:space="0" w:color="auto"/>
                  <w:bottom w:val="single" w:sz="4" w:space="0" w:color="auto"/>
                  <w:right w:val="single" w:sz="4" w:space="0" w:color="auto"/>
                </w:tcBorders>
              </w:tcPr>
              <w:p>
                <w:pPr>
                  <w:tabs>
                    <w:tab w:val="center" w:pos="4680"/>
                    <w:tab w:val="right" w:leader="dot" w:pos="9072"/>
                    <w:tab w:val="right" w:pos="9360"/>
                  </w:tabs>
                  <w:rPr>
                    <w:sz w:val="22"/>
                    <w:szCs w:val="22"/>
                    <w:lang w:eastAsia="lt-LT"/>
                  </w:rPr>
                </w:pPr>
              </w:p>
            </w:tc>
          </w:tr>
          <w:tr>
            <w:tc>
              <w:tcPr>
                <w:tcW w:w="1260" w:type="dxa"/>
                <w:tcBorders>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2520" w:type="dxa"/>
                <w:tcBorders>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3723" w:type="dxa"/>
                <w:tcBorders>
                  <w:bottom w:val="single" w:sz="4" w:space="0" w:color="auto"/>
                  <w:right w:val="single" w:sz="4" w:space="0" w:color="auto"/>
                </w:tcBorders>
              </w:tcPr>
              <w:p>
                <w:pPr>
                  <w:tabs>
                    <w:tab w:val="center" w:pos="4680"/>
                    <w:tab w:val="right" w:leader="dot" w:pos="9072"/>
                    <w:tab w:val="right" w:pos="9360"/>
                  </w:tabs>
                  <w:rPr>
                    <w:sz w:val="22"/>
                    <w:szCs w:val="22"/>
                    <w:lang w:eastAsia="lt-LT"/>
                  </w:rPr>
                </w:pPr>
              </w:p>
            </w:tc>
            <w:tc>
              <w:tcPr>
                <w:tcW w:w="2126" w:type="dxa"/>
                <w:tcBorders>
                  <w:left w:val="single" w:sz="4" w:space="0" w:color="auto"/>
                  <w:bottom w:val="single" w:sz="4" w:space="0" w:color="auto"/>
                  <w:right w:val="single" w:sz="4" w:space="0" w:color="auto"/>
                </w:tcBorders>
              </w:tcPr>
              <w:p>
                <w:pPr>
                  <w:tabs>
                    <w:tab w:val="center" w:pos="4680"/>
                    <w:tab w:val="right" w:leader="dot" w:pos="9072"/>
                    <w:tab w:val="right" w:pos="9360"/>
                  </w:tabs>
                  <w:rPr>
                    <w:sz w:val="22"/>
                    <w:szCs w:val="22"/>
                    <w:lang w:eastAsia="lt-LT"/>
                  </w:rPr>
                </w:pPr>
              </w:p>
            </w:tc>
          </w:tr>
        </w:tbl>
        <w:p>
          <w:pPr>
            <w:tabs>
              <w:tab w:val="center" w:pos="4680"/>
              <w:tab w:val="right" w:leader="dot" w:pos="9072"/>
              <w:tab w:val="right" w:pos="9360"/>
            </w:tabs>
            <w:ind w:right="-694"/>
            <w:rPr>
              <w:b/>
              <w:sz w:val="22"/>
              <w:szCs w:val="22"/>
              <w:lang w:eastAsia="lt-LT"/>
            </w:rPr>
          </w:pPr>
        </w:p>
        <w:p>
          <w:pPr>
            <w:tabs>
              <w:tab w:val="center" w:pos="4680"/>
              <w:tab w:val="right" w:leader="dot" w:pos="9072"/>
              <w:tab w:val="right" w:pos="9360"/>
            </w:tabs>
            <w:ind w:right="-694"/>
            <w:rPr>
              <w:szCs w:val="24"/>
              <w:lang w:eastAsia="lt-LT"/>
            </w:rPr>
          </w:pPr>
          <w:r>
            <w:rPr>
              <w:szCs w:val="24"/>
              <w:lang w:eastAsia="lt-LT"/>
            </w:rPr>
            <w:t>Bendra suma ...............................................................................................................................................</w:t>
            <w:tab/>
          </w:r>
        </w:p>
        <w:p>
          <w:pPr>
            <w:tabs>
              <w:tab w:val="center" w:pos="4680"/>
              <w:tab w:val="right" w:leader="dot" w:pos="9072"/>
              <w:tab w:val="right" w:pos="9360"/>
            </w:tabs>
            <w:ind w:right="-692"/>
            <w:jc w:val="center"/>
            <w:rPr>
              <w:sz w:val="16"/>
              <w:szCs w:val="22"/>
              <w:lang w:eastAsia="lt-LT"/>
            </w:rPr>
          </w:pPr>
          <w:r>
            <w:rPr>
              <w:sz w:val="16"/>
              <w:szCs w:val="22"/>
              <w:lang w:eastAsia="lt-LT"/>
            </w:rPr>
            <w:t>(atidedamos / išdėstomos mokestinės nepriemokos / baudos už administracinį nusižengimą suma skaitmenimis ir žodžiais)</w:t>
          </w:r>
        </w:p>
        <w:p>
          <w:pPr>
            <w:tabs>
              <w:tab w:val="right" w:leader="dot" w:pos="9072"/>
            </w:tabs>
            <w:rPr>
              <w:bCs/>
              <w:strike/>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 xml:space="preserve">Sprendimas pakeisti Sprendimą atidėti / išdėstyti mokestinės nepriemokos / baudos už administracinį nusižengimą mokėjimą turi būti įgyvendintas (sudaryta Mokestinės paskolos sutartis) ne vėliau kaip per 10 darbo dienų nuo šio Sprendimo priėmimo dienos, sudarius naują Mokestinės paskolos sutartį. Jeigu per šį terminą Mokestinės paskolos sutartis nesudaroma, šis Sprendimas netenka galios nuo jo priėmimo dienos. / Sprendimas pakeisti Sprendimą atidėti / išdėstyti mokestinės nepriemokos / baudos už administracinį nusižengimą mokėjimą turi būti įgyvendintas (sudaryta Mokestinės paskolos sutartis) ne vėliau kaip per 20 darbo dienų nuo šio Sprendimo priėmimo dienos, sudarius naują Mokestinės paskolos sutartį. Mokesčių mokėtojo motyvuotu prašymu šis terminas gali būti pratęstas iki 40 darbo dienų. Tuo atveju, kai per nustatytus terminus Mokestinės paskolos sutartis nesudaroma, Sprendimas netenka galios nuo jo priėmimo dienos. </w:t>
          </w:r>
        </w:p>
        <w:p>
          <w:pPr>
            <w:ind w:firstLine="709"/>
            <w:jc w:val="both"/>
          </w:pPr>
          <w:r>
            <w:t xml:space="preserve">Mokestinės paskolos sutartį galima pasirašyti, prisijungus prie </w:t>
          </w:r>
          <w:r>
            <w:rPr>
              <w:color w:val="000000"/>
            </w:rPr>
            <w:t>Valstybinės mokesčių inspekcijos</w:t>
          </w:r>
          <w:r>
            <w:t xml:space="preserve"> portalo e. VMI autorizuotų elektroninių paslaugų srities Mano VMI arba atvykus į Valstybinę mokesčių inspekciją, arba ji išsiunčiama pasirašyti paštu.</w:t>
          </w:r>
        </w:p>
        <w:p>
          <w:pPr>
            <w:keepLines/>
            <w:widowControl w:val="0"/>
            <w:tabs>
              <w:tab w:val="right" w:leader="dot" w:pos="9180"/>
            </w:tabs>
            <w:ind w:right="-902" w:firstLine="539"/>
            <w:jc w:val="both"/>
            <w:rPr>
              <w:color w:val="000000"/>
            </w:rPr>
          </w:pPr>
        </w:p>
        <w:p>
          <w:pPr>
            <w:tabs>
              <w:tab w:val="right" w:leader="dot" w:pos="9072"/>
            </w:tabs>
            <w:ind w:firstLine="709"/>
            <w:jc w:val="both"/>
          </w:pPr>
          <w:r>
            <w:t>Sprendimas gali būti skundžiamas Lietuvos Respublikos ikiteisminio administracinių ginčų nagrinėjimo tvarkos įstatymo arba Lietuvos Respublikos administracinių bylų teisenos įstatymo nustatyta tvarka pasirinktinai: Lietuvos administracinių ginčų komisijai (Vilniaus g. 27, 01402 Vilnius)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Sprendimo įteikimo dienos.</w:t>
          </w:r>
        </w:p>
        <w:p>
          <w:pPr>
            <w:tabs>
              <w:tab w:val="right" w:leader="dot" w:pos="9072"/>
            </w:tabs>
            <w:jc w:val="both"/>
          </w:pPr>
        </w:p>
        <w:p>
          <w:pPr>
            <w:tabs>
              <w:tab w:val="right" w:leader="dot" w:pos="9072"/>
            </w:tabs>
            <w:rPr>
              <w:b/>
              <w:color w:val="000000"/>
              <w:sz w:val="8"/>
            </w:rPr>
          </w:pPr>
        </w:p>
        <w:p>
          <w:pPr>
            <w:tabs>
              <w:tab w:val="left" w:leader="dot" w:pos="3289"/>
              <w:tab w:val="left" w:pos="3816"/>
              <w:tab w:val="center" w:pos="4680"/>
              <w:tab w:val="left" w:leader="underscore" w:pos="5808"/>
              <w:tab w:val="left" w:pos="6360"/>
              <w:tab w:val="left" w:leader="dot" w:pos="9071"/>
              <w:tab w:val="right" w:pos="9360"/>
            </w:tabs>
            <w:ind w:right="-874"/>
            <w:rPr>
              <w:color w:val="000000"/>
              <w:sz w:val="16"/>
              <w:szCs w:val="22"/>
              <w:lang w:eastAsia="lt-LT"/>
            </w:rPr>
          </w:pPr>
          <w:r>
            <w:rPr>
              <w:color w:val="000000"/>
              <w:sz w:val="16"/>
              <w:szCs w:val="22"/>
              <w:lang w:eastAsia="lt-LT"/>
            </w:rPr>
            <w:tab/>
            <w:tab/>
            <w:t xml:space="preserve">…………………………..                     ..……………………………………………</w:t>
          </w:r>
        </w:p>
        <w:p>
          <w:pPr>
            <w:tabs>
              <w:tab w:val="left" w:pos="4512"/>
              <w:tab w:val="center" w:pos="4680"/>
              <w:tab w:val="left" w:pos="6360"/>
              <w:tab w:val="left" w:leader="dot" w:pos="9071"/>
              <w:tab w:val="right" w:pos="9360"/>
            </w:tabs>
            <w:ind w:firstLine="532"/>
            <w:rPr>
              <w:color w:val="000000"/>
              <w:sz w:val="16"/>
              <w:szCs w:val="22"/>
              <w:lang w:eastAsia="lt-LT"/>
            </w:rPr>
          </w:pPr>
          <w:r>
            <w:rPr>
              <w:color w:val="000000"/>
              <w:sz w:val="16"/>
              <w:szCs w:val="22"/>
              <w:lang w:eastAsia="lt-LT"/>
            </w:rPr>
            <w:t>(pareigų pavadinimas)</w:t>
            <w:tab/>
            <w:t>(parašas)</w:t>
            <w:tab/>
            <w:t xml:space="preserve">                  (vardas ir pavardė)</w:t>
          </w:r>
        </w:p>
        <w:p>
          <w:pPr>
            <w:tabs>
              <w:tab w:val="center" w:pos="4680"/>
              <w:tab w:val="right" w:leader="dot" w:pos="9072"/>
              <w:tab w:val="right" w:pos="9360"/>
            </w:tabs>
            <w:ind w:right="-694"/>
            <w:rPr>
              <w:b/>
              <w:sz w:val="8"/>
              <w:szCs w:val="22"/>
              <w:lang w:eastAsia="lt-LT"/>
            </w:rPr>
          </w:pPr>
        </w:p>
        <w:p>
          <w:pPr>
            <w:tabs>
              <w:tab w:val="right" w:leader="dot" w:pos="9072"/>
            </w:tabs>
            <w:ind w:right="-694"/>
            <w:rPr>
              <w:b/>
            </w:rPr>
          </w:pPr>
        </w:p>
        <w:p>
          <w:pPr>
            <w:tabs>
              <w:tab w:val="right" w:leader="dot" w:pos="9072"/>
            </w:tabs>
            <w:ind w:right="-694"/>
            <w:rPr>
              <w:sz w:val="16"/>
              <w:szCs w:val="16"/>
            </w:rPr>
          </w:pPr>
          <w:r>
            <w:rPr>
              <w:sz w:val="16"/>
              <w:szCs w:val="16"/>
            </w:rPr>
            <w:t>(rengėjo nuoroda)</w:t>
          </w:r>
        </w:p>
        <w:sdt>
          <w:sdtPr>
            <w:alias w:val="pabaiga"/>
            <w:tag w:val="part_54f7279757d5459b8e23c318af8702c6"/>
            <w:lock w:val="sdtLocked"/>
            <w:richText/>
          </w:sdtPr>
          <w:sdtContent>
            <w:p>
              <w:pPr>
                <w:widowControl w:val="0"/>
                <w:tabs>
                  <w:tab w:val="right" w:leader="underscore" w:pos="9072"/>
                </w:tabs>
                <w:jc w:val="center"/>
              </w:pPr>
              <w:r>
                <w:t>___________________</w:t>
              </w:r>
            </w:p>
          </w:sdtContent>
        </w:sdt>
      </w:sdtContent>
    </w:sdt>
    <w:sdt>
      <w:sdtPr>
        <w:alias w:val="patvirtinta"/>
        <w:tag w:val="part_803afd0c65b44984a52234ada3dcd956"/>
        <w:lock w:val="sdtLocked"/>
        <w:richText/>
      </w:sdtPr>
      <w:sdtContent>
        <w:p>
          <w:pPr>
            <w:jc w:val="both"/>
            <w:sectPr>
              <w:headerReference w:type="default" r:id="rId33"/>
              <w:headerReference w:type="first" r:id="rId34"/>
              <w:pgSz w:w="11907" w:h="16839"/>
              <w:pgMar w:top="1134" w:right="567" w:bottom="1134" w:left="1701" w:header="567" w:footer="567" w:gutter="0"/>
              <w:pgNumType w:start="2"/>
              <w:cols w:space="1296"/>
              <w:titlePg/>
              <w:docGrid w:linePitch="360"/>
            </w:sectPr>
          </w:pPr>
        </w:p>
        <w:p>
          <w:pPr>
            <w:widowControl w:val="0"/>
            <w:spacing w:line="144" w:lineRule="atLeast"/>
            <w:ind w:firstLine="4950"/>
            <w:rPr>
              <w:strike/>
              <w:color w:val="000000"/>
            </w:rPr>
          </w:pPr>
          <w:r>
            <w:rPr>
              <w:color w:val="000000"/>
            </w:rPr>
            <w:t>PATVIRTINTA</w:t>
          </w:r>
          <w:r>
            <w:rPr>
              <w:strike/>
              <w:color w:val="000000"/>
            </w:rPr>
            <w:t xml:space="preserve"> </w:t>
          </w:r>
        </w:p>
        <w:p>
          <w:pPr>
            <w:widowControl w:val="0"/>
            <w:spacing w:line="144" w:lineRule="atLeast"/>
            <w:ind w:firstLine="4950"/>
            <w:rPr>
              <w:color w:val="000000"/>
            </w:rPr>
          </w:pPr>
          <w:r>
            <w:rPr>
              <w:color w:val="000000"/>
            </w:rPr>
            <w:t xml:space="preserve">Valstybinės mokesčių inspekcijos prie </w:t>
          </w:r>
        </w:p>
        <w:p>
          <w:pPr>
            <w:widowControl w:val="0"/>
            <w:spacing w:line="144" w:lineRule="atLeast"/>
            <w:ind w:firstLine="4950"/>
            <w:rPr>
              <w:color w:val="000000"/>
            </w:rPr>
          </w:pPr>
          <w:r>
            <w:rPr>
              <w:color w:val="000000"/>
            </w:rPr>
            <w:t xml:space="preserve">Lietuvos Respublikos finansų ministerijos </w:t>
          </w:r>
        </w:p>
        <w:p>
          <w:pPr>
            <w:widowControl w:val="0"/>
            <w:spacing w:line="144" w:lineRule="atLeast"/>
            <w:ind w:firstLine="4950"/>
            <w:rPr>
              <w:color w:val="000000"/>
            </w:rPr>
          </w:pPr>
          <w:r>
            <w:rPr>
              <w:color w:val="000000"/>
            </w:rPr>
            <w:t xml:space="preserve">viršininko </w:t>
          </w:r>
        </w:p>
        <w:p>
          <w:pPr>
            <w:widowControl w:val="0"/>
            <w:spacing w:line="144" w:lineRule="atLeast"/>
            <w:ind w:firstLine="4950"/>
            <w:rPr>
              <w:color w:val="000000"/>
            </w:rPr>
          </w:pPr>
          <w:r>
            <w:rPr>
              <w:color w:val="000000"/>
              <w:lang w:val="en-US"/>
            </w:rPr>
            <w:t xml:space="preserve">2024 m. </w:t>
          </w:r>
          <w:r>
            <w:rPr>
              <w:color w:val="000000"/>
            </w:rPr>
            <w:t>spalio 23 d</w:t>
          </w:r>
          <w:r>
            <w:rPr>
              <w:color w:val="000000"/>
              <w:lang w:val="en-US"/>
            </w:rPr>
            <w:t xml:space="preserve">. </w:t>
          </w:r>
          <w:r>
            <w:rPr>
              <w:color w:val="000000"/>
            </w:rPr>
            <w:t>įsakymu Nr. VA-83</w:t>
          </w:r>
        </w:p>
        <w:p>
          <w:pPr>
            <w:tabs>
              <w:tab w:val="right" w:leader="dot" w:pos="9072"/>
            </w:tabs>
            <w:jc w:val="center"/>
          </w:pPr>
        </w:p>
        <w:p>
          <w:pPr>
            <w:tabs>
              <w:tab w:val="right" w:leader="dot" w:pos="9072"/>
            </w:tabs>
            <w:jc w:val="center"/>
            <w:rPr>
              <w:b/>
              <w:szCs w:val="24"/>
            </w:rPr>
          </w:pPr>
          <w:r>
            <w:rPr>
              <w:b/>
              <w:szCs w:val="24"/>
            </w:rPr>
            <w:t>(Įspėjimo FR1093 forma)</w:t>
          </w:r>
        </w:p>
        <w:p>
          <w:pPr>
            <w:tabs>
              <w:tab w:val="right" w:leader="dot" w:pos="9072"/>
            </w:tabs>
            <w:jc w:val="center"/>
            <w:rPr>
              <w:b/>
              <w:szCs w:val="24"/>
            </w:rPr>
          </w:pPr>
        </w:p>
        <w:p>
          <w:pPr>
            <w:tabs>
              <w:tab w:val="right" w:leader="dot" w:pos="9072"/>
            </w:tabs>
            <w:jc w:val="center"/>
            <w:rPr>
              <w:b/>
              <w:szCs w:val="24"/>
            </w:rPr>
          </w:pPr>
          <w:r>
            <w:rPr>
              <w:color w:val="000000"/>
              <w:szCs w:val="24"/>
              <w:lang w:eastAsia="lt-LT"/>
            </w:rPr>
            <w:drawing>
              <wp:inline distT="0" distB="0" distL="0" distR="0">
                <wp:extent cx="541020" cy="556260"/>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right" w:leader="dot" w:pos="9072"/>
            </w:tabs>
            <w:jc w:val="center"/>
            <w:rPr>
              <w:color w:val="000000"/>
            </w:rPr>
          </w:pPr>
        </w:p>
        <w:p>
          <w:pPr>
            <w:widowControl w:val="0"/>
            <w:tabs>
              <w:tab w:val="left" w:leader="dot" w:pos="1368"/>
            </w:tabs>
            <w:spacing w:line="257" w:lineRule="atLeast"/>
            <w:jc w:val="center"/>
            <w:rPr>
              <w:b/>
              <w:bCs/>
              <w:color w:val="000000"/>
              <w:szCs w:val="24"/>
            </w:rPr>
          </w:pPr>
          <w:r>
            <w:rPr>
              <w:b/>
              <w:bCs/>
              <w:color w:val="000000"/>
              <w:szCs w:val="24"/>
            </w:rPr>
            <w:t>VALSTYBINĖ MOKESČIŲ INSPEKCIJA PRIE LIETUVOS RESPUBLIKOS</w:t>
          </w:r>
        </w:p>
        <w:p>
          <w:pPr>
            <w:widowControl w:val="0"/>
            <w:tabs>
              <w:tab w:val="left" w:leader="dot" w:pos="1368"/>
            </w:tabs>
            <w:spacing w:line="257" w:lineRule="atLeast"/>
            <w:jc w:val="center"/>
            <w:rPr>
              <w:b/>
              <w:color w:val="000000"/>
              <w:szCs w:val="24"/>
            </w:rPr>
          </w:pPr>
          <w:r>
            <w:rPr>
              <w:b/>
              <w:bCs/>
              <w:color w:val="000000"/>
              <w:szCs w:val="24"/>
            </w:rPr>
            <w:t>FINANSŲ MINISTERIJOS</w:t>
          </w:r>
        </w:p>
        <w:p>
          <w:pPr>
            <w:widowControl w:val="0"/>
            <w:tabs>
              <w:tab w:val="left" w:leader="dot" w:pos="1368"/>
            </w:tabs>
            <w:spacing w:line="257" w:lineRule="atLeast"/>
            <w:rPr>
              <w:color w:val="000000"/>
              <w:sz w:val="16"/>
              <w:szCs w:val="16"/>
            </w:rPr>
          </w:pPr>
        </w:p>
        <w:p>
          <w:pPr>
            <w:widowControl w:val="0"/>
            <w:tabs>
              <w:tab w:val="left" w:leader="dot" w:pos="1368"/>
            </w:tabs>
            <w:spacing w:line="257" w:lineRule="atLeast"/>
            <w:rPr>
              <w:color w:val="000000"/>
              <w:sz w:val="16"/>
              <w:szCs w:val="16"/>
            </w:rPr>
          </w:pPr>
          <w:r>
            <w:rPr>
              <w:color w:val="000000"/>
              <w:sz w:val="16"/>
              <w:szCs w:val="16"/>
            </w:rPr>
            <w:t>(adresatas)</w:t>
          </w:r>
        </w:p>
        <w:p>
          <w:pPr>
            <w:tabs>
              <w:tab w:val="right" w:leader="dot" w:pos="9072"/>
            </w:tabs>
            <w:rPr>
              <w:b/>
              <w:color w:val="000000"/>
              <w:sz w:val="8"/>
            </w:rPr>
          </w:pPr>
        </w:p>
        <w:p>
          <w:pPr>
            <w:widowControl w:val="0"/>
            <w:spacing w:line="257" w:lineRule="atLeast"/>
            <w:jc w:val="center"/>
            <w:rPr>
              <w:color w:val="000000"/>
              <w:sz w:val="16"/>
            </w:rPr>
          </w:pPr>
          <w:r>
            <w:rPr>
              <w:b/>
              <w:color w:val="000000"/>
              <w:szCs w:val="24"/>
            </w:rPr>
            <w:t>ĮSPĖJIMAS</w:t>
          </w:r>
          <w:r>
            <w:rPr>
              <w:color w:val="000000"/>
              <w:sz w:val="16"/>
            </w:rPr>
            <w:t xml:space="preserve"> </w:t>
          </w:r>
          <w:r>
            <w:rPr>
              <w:b/>
              <w:color w:val="000000"/>
              <w:szCs w:val="24"/>
            </w:rPr>
            <w:t xml:space="preserve">FR1093 </w:t>
          </w:r>
        </w:p>
        <w:p>
          <w:pPr>
            <w:tabs>
              <w:tab w:val="left" w:pos="851"/>
            </w:tabs>
            <w:jc w:val="center"/>
            <w:rPr>
              <w:color w:val="000000"/>
              <w:sz w:val="16"/>
            </w:rPr>
          </w:pPr>
        </w:p>
        <w:tbl>
          <w:tblPr>
            <w:tblW w:w="0" w:type="auto"/>
            <w:jc w:val="center"/>
            <w:tblLayout w:type="fixed"/>
            <w:tblCellMar>
              <w:left w:w="0" w:type="dxa"/>
              <w:right w:w="0" w:type="dxa"/>
            </w:tblCellMar>
            <w:tblLook w:val="0000" w:firstRow="0" w:lastRow="0" w:firstColumn="0" w:lastColumn="0" w:noHBand="0" w:noVBand="0"/>
          </w:tblPr>
          <w:tblGrid>
            <w:gridCol w:w="1985"/>
            <w:gridCol w:w="600"/>
            <w:gridCol w:w="1985"/>
          </w:tblGrid>
          <w:tr>
            <w:trPr>
              <w:jc w:val="center"/>
            </w:trPr>
            <w:tc>
              <w:tcPr>
                <w:tcW w:w="1985" w:type="dxa"/>
              </w:tcPr>
              <w:p>
                <w:pPr>
                  <w:tabs>
                    <w:tab w:val="left" w:leader="dot" w:pos="1698"/>
                  </w:tabs>
                  <w:rPr>
                    <w:color w:val="000000"/>
                  </w:rPr>
                </w:pPr>
                <w:r>
                  <w:rPr>
                    <w:color w:val="000000"/>
                    <w:sz w:val="16"/>
                  </w:rPr>
                  <w:tab/>
                </w:r>
              </w:p>
            </w:tc>
            <w:tc>
              <w:tcPr>
                <w:tcW w:w="600" w:type="dxa"/>
              </w:tcPr>
              <w:p>
                <w:pPr>
                  <w:jc w:val="center"/>
                  <w:rPr>
                    <w:color w:val="000000"/>
                  </w:rPr>
                </w:pPr>
                <w:r>
                  <w:rPr>
                    <w:color w:val="000000"/>
                  </w:rPr>
                  <w:t>Nr.</w:t>
                </w:r>
              </w:p>
            </w:tc>
            <w:tc>
              <w:tcPr>
                <w:tcW w:w="1985" w:type="dxa"/>
              </w:tcPr>
              <w:p>
                <w:pPr>
                  <w:tabs>
                    <w:tab w:val="left" w:leader="dot" w:pos="1695"/>
                  </w:tabs>
                  <w:rPr>
                    <w:color w:val="000000"/>
                  </w:rPr>
                </w:pPr>
                <w:r>
                  <w:rPr>
                    <w:color w:val="000000"/>
                    <w:sz w:val="16"/>
                  </w:rPr>
                  <w:tab/>
                </w:r>
              </w:p>
            </w:tc>
          </w:tr>
          <w:tr>
            <w:trPr>
              <w:jc w:val="center"/>
            </w:trPr>
            <w:tc>
              <w:tcPr>
                <w:tcW w:w="1985" w:type="dxa"/>
              </w:tcPr>
              <w:p>
                <w:pPr>
                  <w:tabs>
                    <w:tab w:val="left" w:pos="318"/>
                  </w:tabs>
                  <w:ind w:firstLine="318"/>
                  <w:rPr>
                    <w:color w:val="000000"/>
                  </w:rPr>
                </w:pPr>
                <w:r>
                  <w:rPr>
                    <w:color w:val="000000"/>
                    <w:sz w:val="16"/>
                  </w:rPr>
                  <w:t>(data)</w:t>
                </w:r>
              </w:p>
            </w:tc>
            <w:tc>
              <w:tcPr>
                <w:tcW w:w="600" w:type="dxa"/>
              </w:tcPr>
              <w:p>
                <w:pPr>
                  <w:jc w:val="center"/>
                  <w:rPr>
                    <w:color w:val="000000"/>
                  </w:rPr>
                </w:pPr>
              </w:p>
            </w:tc>
            <w:tc>
              <w:tcPr>
                <w:tcW w:w="1985" w:type="dxa"/>
              </w:tcPr>
              <w:p>
                <w:pPr>
                  <w:tabs>
                    <w:tab w:val="left" w:pos="157"/>
                  </w:tabs>
                  <w:ind w:firstLine="157"/>
                  <w:rPr>
                    <w:color w:val="000000"/>
                  </w:rPr>
                </w:pPr>
                <w:r>
                  <w:rPr>
                    <w:color w:val="000000"/>
                    <w:sz w:val="16"/>
                  </w:rPr>
                  <w:t>(registracijos numeris)</w:t>
                </w:r>
              </w:p>
            </w:tc>
          </w:tr>
          <w:tr>
            <w:trPr>
              <w:jc w:val="center"/>
            </w:trPr>
            <w:tc>
              <w:tcPr>
                <w:tcW w:w="4570" w:type="dxa"/>
                <w:gridSpan w:val="3"/>
              </w:tcPr>
              <w:p>
                <w:pPr>
                  <w:tabs>
                    <w:tab w:val="left" w:leader="dot" w:pos="2268"/>
                  </w:tabs>
                  <w:jc w:val="center"/>
                  <w:rPr>
                    <w:color w:val="000000"/>
                  </w:rPr>
                </w:pPr>
                <w:r>
                  <w:rPr>
                    <w:color w:val="000000"/>
                    <w:sz w:val="16"/>
                  </w:rPr>
                  <w:tab/>
                </w:r>
              </w:p>
            </w:tc>
          </w:tr>
          <w:tr>
            <w:trPr>
              <w:jc w:val="center"/>
            </w:trPr>
            <w:tc>
              <w:tcPr>
                <w:tcW w:w="4570" w:type="dxa"/>
                <w:gridSpan w:val="3"/>
              </w:tcPr>
              <w:p>
                <w:pPr>
                  <w:jc w:val="center"/>
                  <w:rPr>
                    <w:color w:val="000000"/>
                  </w:rPr>
                </w:pPr>
                <w:r>
                  <w:rPr>
                    <w:color w:val="000000"/>
                    <w:sz w:val="16"/>
                  </w:rPr>
                  <w:t>(sudarymo vieta)</w:t>
                </w:r>
              </w:p>
            </w:tc>
          </w:tr>
        </w:tbl>
        <w:p>
          <w:pPr>
            <w:ind w:firstLine="720"/>
            <w:jc w:val="both"/>
            <w:rPr>
              <w:color w:val="000000"/>
              <w:szCs w:val="24"/>
            </w:rPr>
          </w:pPr>
        </w:p>
        <w:p>
          <w:pPr>
            <w:ind w:firstLine="720"/>
            <w:jc w:val="both"/>
            <w:rPr>
              <w:bCs/>
              <w:szCs w:val="24"/>
            </w:rPr>
          </w:pPr>
          <w:r>
            <w:rPr>
              <w:bCs/>
              <w:color w:val="000000"/>
              <w:szCs w:val="24"/>
            </w:rPr>
            <w:t>Vadovaudamiesi</w:t>
          </w:r>
          <w:r>
            <w:rPr>
              <w:bCs/>
              <w:szCs w:val="24"/>
            </w:rPr>
            <w:t xml:space="preserve"> Lietuvos Respublikos mokesčių administravimo įstatymo 14 straipsnio 7 dalimi ir 88 straipsniu bei</w:t>
          </w:r>
          <w:r>
            <w:rPr>
              <w:b/>
              <w:bCs/>
              <w:szCs w:val="24"/>
            </w:rPr>
            <w:t xml:space="preserve"> </w:t>
          </w:r>
          <w:r>
            <w:rPr>
              <w:color w:val="000000"/>
            </w:rPr>
            <w:t xml:space="preserve">šiuo Valstybinės mokesčių inspekcijos prie Lietuvos Respublikos finansų ministerijos viršininko įsakymu patvirtintų </w:t>
          </w:r>
          <w:r>
            <w:rPr>
              <w:bCs/>
              <w:szCs w:val="24"/>
            </w:rPr>
            <w:t xml:space="preserve">Mokestinės nepriemokos ar baudos už administracinį nusižengimą mokėjimo atidėjimo ir (ar) išdėstymo taisyklių </w:t>
          </w:r>
          <w:r>
            <w:rPr>
              <w:bCs/>
              <w:szCs w:val="24"/>
              <w:lang w:val="en-US"/>
            </w:rPr>
            <w:t xml:space="preserve">53 </w:t>
          </w:r>
          <w:r>
            <w:rPr>
              <w:bCs/>
              <w:szCs w:val="24"/>
            </w:rPr>
            <w:t>punktu,</w:t>
          </w:r>
          <w:r>
            <w:rPr>
              <w:bCs/>
              <w:color w:val="FF0000"/>
              <w:szCs w:val="24"/>
            </w:rPr>
            <w:t xml:space="preserve"> </w:t>
          </w:r>
        </w:p>
        <w:p>
          <w:pPr>
            <w:tabs>
              <w:tab w:val="left" w:pos="1296"/>
              <w:tab w:val="left" w:pos="2592"/>
              <w:tab w:val="left" w:pos="3888"/>
              <w:tab w:val="left" w:pos="5185"/>
              <w:tab w:val="left" w:pos="6481"/>
              <w:tab w:val="left" w:pos="7777"/>
              <w:tab w:val="left" w:pos="9072"/>
              <w:tab w:val="left" w:pos="10369"/>
            </w:tabs>
            <w:ind w:firstLine="806"/>
            <w:jc w:val="both"/>
            <w:rPr>
              <w:color w:val="000000"/>
            </w:rPr>
          </w:pPr>
          <w:r>
            <w:t>į s p ė j a m e</w:t>
          </w:r>
          <w:r>
            <w:rPr>
              <w:b/>
            </w:rPr>
            <w:t xml:space="preserve"> </w:t>
          </w:r>
          <w:r>
            <w:t>apie ketinimą nutraukti</w:t>
          </w:r>
          <w:r>
            <w:rPr>
              <w:sz w:val="16"/>
              <w:szCs w:val="16"/>
            </w:rPr>
            <w:t>........................................................................................................</w:t>
          </w:r>
          <w:r>
            <w:t xml:space="preserve"> mokestinės </w:t>
          </w:r>
        </w:p>
        <w:p>
          <w:pPr>
            <w:tabs>
              <w:tab w:val="left" w:pos="900"/>
              <w:tab w:val="right" w:leader="dot" w:pos="9072"/>
            </w:tabs>
            <w:ind w:firstLine="2464"/>
            <w:jc w:val="center"/>
            <w:rPr>
              <w:color w:val="000000"/>
              <w:sz w:val="16"/>
              <w:szCs w:val="16"/>
            </w:rPr>
          </w:pPr>
          <w:r>
            <w:rPr>
              <w:color w:val="000000"/>
              <w:sz w:val="16"/>
              <w:szCs w:val="16"/>
            </w:rPr>
            <w:t>(mokestinės paskolos sutarties sudarymo data)</w:t>
          </w:r>
        </w:p>
        <w:p>
          <w:pPr>
            <w:tabs>
              <w:tab w:val="right" w:leader="dot" w:pos="9072"/>
            </w:tabs>
            <w:jc w:val="both"/>
          </w:pPr>
          <w:r>
            <w:t xml:space="preserve">paskolos sutartį Nr. </w:t>
          </w:r>
          <w:r>
            <w:rPr>
              <w:sz w:val="16"/>
              <w:szCs w:val="16"/>
            </w:rPr>
            <w:t>.......................</w:t>
          </w:r>
          <w:r>
            <w:t xml:space="preserve">, jeigu per 20 dienų nuo įspėjimo įteikimo dienos nebus sumokėta </w:t>
          </w:r>
          <w:r>
            <w:rPr>
              <w:sz w:val="16"/>
              <w:szCs w:val="16"/>
            </w:rPr>
            <w:t>.....................................................</w:t>
          </w:r>
          <w:r>
            <w:t xml:space="preserve"> (įmokos kodas 8250).</w:t>
          </w:r>
        </w:p>
        <w:p>
          <w:pPr>
            <w:tabs>
              <w:tab w:val="left" w:pos="2520"/>
              <w:tab w:val="right" w:leader="dot" w:pos="9072"/>
            </w:tabs>
            <w:jc w:val="both"/>
            <w:rPr>
              <w:color w:val="000000"/>
              <w:sz w:val="16"/>
              <w:szCs w:val="16"/>
            </w:rPr>
          </w:pPr>
          <w:r>
            <w:rPr>
              <w:color w:val="000000"/>
              <w:sz w:val="16"/>
              <w:szCs w:val="16"/>
            </w:rPr>
            <w:t>(pradelsta mokestinės paskolos sutarties suma)</w:t>
          </w:r>
        </w:p>
        <w:p>
          <w:pPr>
            <w:tabs>
              <w:tab w:val="right" w:leader="dot" w:pos="9072"/>
            </w:tabs>
            <w:ind w:firstLine="720"/>
            <w:jc w:val="both"/>
          </w:pPr>
          <w:r>
            <w:t>Nurodytą sumą prašome pervesti į Valstybinės mokesčių inspekcijos prie Lietuvos Respublikos finansų ministerijos (kodas – 188659752) vieną iš nurodytų sąskaitų:</w:t>
          </w:r>
        </w:p>
        <w:p>
          <w:pPr>
            <w:tabs>
              <w:tab w:val="right" w:leader="dot" w:pos="9639"/>
            </w:tabs>
            <w:jc w:val="both"/>
            <w:rPr>
              <w:sz w:val="16"/>
              <w:szCs w:val="16"/>
            </w:rPr>
          </w:pPr>
          <w:r>
            <w:rPr>
              <w:sz w:val="16"/>
              <w:szCs w:val="16"/>
            </w:rPr>
            <w:tab/>
          </w:r>
        </w:p>
        <w:p>
          <w:pPr>
            <w:tabs>
              <w:tab w:val="right" w:leader="dot" w:pos="9072"/>
            </w:tabs>
            <w:ind w:firstLine="720"/>
            <w:jc w:val="center"/>
            <w:rPr>
              <w:sz w:val="16"/>
              <w:szCs w:val="16"/>
            </w:rPr>
          </w:pPr>
          <w:r>
            <w:rPr>
              <w:sz w:val="16"/>
              <w:szCs w:val="16"/>
            </w:rPr>
            <w:t>(sąskaitos numeris, kredito įstaigos pavadinimas ir kodas)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t xml:space="preserve">Jei turite finansinių sunkumų pradelstai sumai sumokėti, Jūs turite galimybę kreiptis į mokesčių administratorių su prašymu dėl Mokestinės paskolos sutarties sąlygų pakeitimo. </w:t>
          </w:r>
          <w:r>
            <w:rPr>
              <w:szCs w:val="24"/>
            </w:rPr>
            <w:t xml:space="preserve">Prašymas yra pateikiamas ir nagrinėjamas tokia pat tvarka, kaip ir prašymas </w:t>
          </w:r>
          <w:r>
            <w:t>atidėti ir (ar) išdėstyti mokestinės nepriemokos mokėjimą.</w:t>
          </w:r>
        </w:p>
        <w:p>
          <w:pPr>
            <w:ind w:firstLine="709"/>
            <w:jc w:val="both"/>
            <w:rPr>
              <w:szCs w:val="24"/>
            </w:rPr>
          </w:pPr>
          <w:r>
            <w:rPr>
              <w:szCs w:val="24"/>
            </w:rPr>
            <w:t>Šis įspėjimas gali būti skundžiamas Lietuvos Respublikos ikiteisminio administracinių ginčų nagrinėjimo tvarkos įstatymo arba Lietuvos Respublikos administracinių bylų teisenos įstatymo nustatyta tvarka pasirinktinai: Lietuvos administracinių ginčų komisijai (Vilniaus g. 27, 01402 Vilnius)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įspėjimo įteikimo dienos.</w:t>
          </w:r>
        </w:p>
        <w:p>
          <w:pPr>
            <w:tabs>
              <w:tab w:val="right" w:leader="dot" w:pos="9072"/>
            </w:tabs>
            <w:ind w:firstLine="720"/>
            <w:jc w:val="center"/>
            <w:rPr>
              <w:sz w:val="16"/>
              <w:szCs w:val="16"/>
            </w:rPr>
          </w:pPr>
        </w:p>
        <w:p>
          <w:pPr>
            <w:tabs>
              <w:tab w:val="left" w:leader="dot" w:pos="3289"/>
              <w:tab w:val="left" w:pos="3816"/>
              <w:tab w:val="left" w:leader="underscore" w:pos="5808"/>
              <w:tab w:val="left" w:pos="6360"/>
              <w:tab w:val="left" w:leader="dot" w:pos="9071"/>
            </w:tabs>
            <w:rPr>
              <w:color w:val="000000"/>
              <w:sz w:val="16"/>
            </w:rPr>
          </w:pPr>
          <w:r>
            <w:rPr>
              <w:color w:val="000000"/>
              <w:sz w:val="16"/>
            </w:rPr>
            <w:tab/>
            <w:tab/>
            <w:t xml:space="preserve">  ………………………….                    ……………………………………………</w:t>
          </w:r>
        </w:p>
        <w:p>
          <w:pPr>
            <w:tabs>
              <w:tab w:val="left" w:leader="dot" w:pos="3289"/>
              <w:tab w:val="left" w:pos="3816"/>
              <w:tab w:val="left" w:leader="underscore" w:pos="5808"/>
              <w:tab w:val="left" w:pos="6360"/>
              <w:tab w:val="left" w:leader="dot" w:pos="9071"/>
            </w:tabs>
            <w:rPr>
              <w:color w:val="000000"/>
              <w:sz w:val="16"/>
            </w:rPr>
          </w:pPr>
        </w:p>
        <w:p>
          <w:pPr>
            <w:tabs>
              <w:tab w:val="left" w:pos="4512"/>
              <w:tab w:val="left" w:pos="6360"/>
              <w:tab w:val="left" w:leader="dot" w:pos="9071"/>
            </w:tabs>
            <w:ind w:firstLine="570"/>
            <w:rPr>
              <w:color w:val="000000"/>
              <w:sz w:val="16"/>
            </w:rPr>
          </w:pPr>
          <w:r>
            <w:rPr>
              <w:color w:val="000000"/>
              <w:sz w:val="16"/>
            </w:rPr>
            <w:t xml:space="preserve">(pareigų pavadinimas)                                                            (parašas)</w:t>
            <w:tab/>
            <w:t xml:space="preserve">                     (vardas, pavardė)</w:t>
          </w:r>
        </w:p>
        <w:p>
          <w:pPr>
            <w:tabs>
              <w:tab w:val="left" w:pos="4512"/>
              <w:tab w:val="left" w:pos="6360"/>
              <w:tab w:val="left" w:leader="dot" w:pos="9071"/>
            </w:tabs>
            <w:ind w:firstLine="3410"/>
            <w:jc w:val="both"/>
          </w:pPr>
        </w:p>
        <w:p>
          <w:pPr>
            <w:widowControl w:val="0"/>
            <w:tabs>
              <w:tab w:val="right" w:leader="underscore" w:pos="9072"/>
            </w:tabs>
            <w:rPr>
              <w:sz w:val="16"/>
              <w:szCs w:val="16"/>
            </w:rPr>
          </w:pPr>
          <w:r>
            <w:rPr>
              <w:sz w:val="16"/>
            </w:rPr>
            <w:t>(rengėjo nuoroda</w:t>
          </w:r>
          <w:r>
            <w:rPr>
              <w:sz w:val="16"/>
              <w:szCs w:val="16"/>
            </w:rPr>
            <w:t>)</w:t>
          </w:r>
        </w:p>
        <w:sdt>
          <w:sdtPr>
            <w:alias w:val="pabaiga"/>
            <w:tag w:val="part_92849533c0e14c9484fc99265c565987"/>
            <w:lock w:val="sdtLocked"/>
            <w:richText/>
          </w:sdtPr>
          <w:sdtContent>
            <w:p>
              <w:pPr>
                <w:widowControl w:val="0"/>
                <w:tabs>
                  <w:tab w:val="right" w:leader="underscore" w:pos="9072"/>
                </w:tabs>
                <w:jc w:val="center"/>
                <w:rPr>
                  <w:color w:val="000000"/>
                </w:rPr>
              </w:pPr>
              <w:r>
                <w:t>___________________</w:t>
              </w:r>
            </w:p>
          </w:sdtContent>
        </w:sdt>
      </w:sdtContent>
    </w:sdt>
    <w:sdt>
      <w:sdtPr>
        <w:alias w:val="patvirtinta"/>
        <w:tag w:val="part_9a5b7597f1104bafa26aaea65c278e10"/>
        <w:lock w:val="sdtLocked"/>
        <w:richText/>
      </w:sdtPr>
      <w:sdtContent>
        <w:p>
          <w:pPr>
            <w:widowControl w:val="0"/>
            <w:spacing w:line="144" w:lineRule="atLeast"/>
            <w:rPr>
              <w:color w:val="000000"/>
            </w:rPr>
          </w:pPr>
        </w:p>
        <w:p>
          <w:pPr>
            <w:widowControl w:val="0"/>
            <w:spacing w:line="144" w:lineRule="atLeast"/>
            <w:ind w:firstLine="4950"/>
            <w:rPr>
              <w:color w:val="000000"/>
            </w:rPr>
            <w:sectPr>
              <w:pgSz w:w="11907" w:h="16839"/>
              <w:pgMar w:top="1134" w:right="567" w:bottom="1134" w:left="1701" w:header="567" w:footer="567" w:gutter="0"/>
              <w:pgNumType w:start="2"/>
              <w:cols w:space="1296"/>
              <w:titlePg/>
              <w:docGrid w:linePitch="360"/>
            </w:sectPr>
          </w:pPr>
        </w:p>
        <w:p>
          <w:pPr>
            <w:widowControl w:val="0"/>
            <w:spacing w:line="144" w:lineRule="atLeast"/>
            <w:ind w:firstLine="4950"/>
            <w:rPr>
              <w:strike/>
              <w:color w:val="000000"/>
            </w:rPr>
          </w:pPr>
          <w:r>
            <w:rPr>
              <w:color w:val="000000"/>
            </w:rPr>
            <w:t>PATVIRTINTA</w:t>
          </w:r>
          <w:r>
            <w:rPr>
              <w:strike/>
              <w:color w:val="000000"/>
            </w:rPr>
            <w:t xml:space="preserve"> </w:t>
          </w:r>
        </w:p>
        <w:p>
          <w:pPr>
            <w:widowControl w:val="0"/>
            <w:spacing w:line="144" w:lineRule="atLeast"/>
            <w:ind w:firstLine="4950"/>
            <w:rPr>
              <w:color w:val="000000"/>
            </w:rPr>
          </w:pPr>
          <w:r>
            <w:rPr>
              <w:color w:val="000000"/>
            </w:rPr>
            <w:t xml:space="preserve">Valstybinės mokesčių inspekcijos prie </w:t>
          </w:r>
        </w:p>
        <w:p>
          <w:pPr>
            <w:widowControl w:val="0"/>
            <w:spacing w:line="144" w:lineRule="atLeast"/>
            <w:ind w:firstLine="4950"/>
            <w:rPr>
              <w:color w:val="000000"/>
            </w:rPr>
          </w:pPr>
          <w:r>
            <w:rPr>
              <w:color w:val="000000"/>
            </w:rPr>
            <w:t xml:space="preserve">Lietuvos Respublikos finansų ministerijos </w:t>
          </w:r>
        </w:p>
        <w:p>
          <w:pPr>
            <w:widowControl w:val="0"/>
            <w:spacing w:line="144" w:lineRule="atLeast"/>
            <w:ind w:firstLine="4950"/>
            <w:rPr>
              <w:color w:val="000000"/>
            </w:rPr>
          </w:pPr>
          <w:r>
            <w:rPr>
              <w:color w:val="000000"/>
            </w:rPr>
            <w:t xml:space="preserve">viršininko </w:t>
          </w:r>
        </w:p>
        <w:p>
          <w:pPr>
            <w:widowControl w:val="0"/>
            <w:spacing w:line="144" w:lineRule="atLeast"/>
            <w:ind w:firstLine="4950"/>
            <w:rPr>
              <w:color w:val="000000"/>
            </w:rPr>
          </w:pPr>
          <w:r>
            <w:rPr>
              <w:color w:val="000000"/>
              <w:lang w:val="en-US"/>
            </w:rPr>
            <w:t xml:space="preserve">2024 m. </w:t>
          </w:r>
          <w:r>
            <w:rPr>
              <w:color w:val="000000"/>
            </w:rPr>
            <w:t xml:space="preserve">spalio 23 </w:t>
          </w:r>
          <w:r>
            <w:rPr>
              <w:color w:val="000000"/>
              <w:lang w:val="en-US"/>
            </w:rPr>
            <w:t xml:space="preserve">d. </w:t>
          </w:r>
          <w:r>
            <w:rPr>
              <w:color w:val="000000"/>
            </w:rPr>
            <w:t>įsakymu Nr. VA-83</w:t>
          </w:r>
        </w:p>
        <w:p>
          <w:pPr>
            <w:widowControl w:val="0"/>
            <w:ind w:left="5103"/>
            <w:rPr>
              <w:color w:val="000000"/>
              <w:szCs w:val="24"/>
            </w:rPr>
          </w:pPr>
        </w:p>
        <w:p>
          <w:pPr>
            <w:widowControl w:val="0"/>
            <w:ind w:left="5103"/>
            <w:rPr>
              <w:color w:val="000000"/>
              <w:szCs w:val="24"/>
            </w:rPr>
          </w:pPr>
        </w:p>
        <w:p>
          <w:pPr>
            <w:jc w:val="center"/>
          </w:pPr>
          <w:r>
            <w:rPr>
              <w:b/>
            </w:rPr>
            <w:t xml:space="preserve">(Pranešimo apie mokėtinas palūkanas </w:t>
          </w:r>
          <w:r>
            <w:rPr>
              <w:b/>
              <w:color w:val="000000"/>
            </w:rPr>
            <w:t>FR0556</w:t>
          </w:r>
          <w:r>
            <w:rPr>
              <w:b/>
            </w:rPr>
            <w:t xml:space="preserve"> forma) </w:t>
          </w:r>
        </w:p>
        <w:p>
          <w:pPr>
            <w:widowControl w:val="0"/>
            <w:spacing w:line="144" w:lineRule="atLeast"/>
            <w:ind w:left="5103"/>
            <w:rPr>
              <w:color w:val="000000"/>
              <w:szCs w:val="24"/>
            </w:rPr>
          </w:pPr>
        </w:p>
        <w:p>
          <w:pPr>
            <w:widowControl w:val="0"/>
            <w:spacing w:line="144" w:lineRule="atLeast"/>
            <w:jc w:val="center"/>
            <w:rPr>
              <w:color w:val="000000"/>
            </w:rPr>
          </w:pPr>
          <w:r>
            <w:rPr>
              <w:color w:val="000000"/>
              <w:szCs w:val="24"/>
              <w:lang w:eastAsia="lt-LT"/>
            </w:rPr>
            <w:drawing>
              <wp:inline distT="0" distB="0" distL="0" distR="0">
                <wp:extent cx="541020" cy="556260"/>
                <wp:effectExtent l="0" t="0" r="0"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tabs>
              <w:tab w:val="right" w:leader="dot" w:pos="9072"/>
            </w:tabs>
            <w:rPr>
              <w:b/>
              <w:color w:val="000000"/>
              <w:sz w:val="8"/>
            </w:rPr>
          </w:pPr>
        </w:p>
        <w:p>
          <w:pPr>
            <w:tabs>
              <w:tab w:val="left" w:leader="dot" w:pos="6480"/>
            </w:tabs>
            <w:jc w:val="center"/>
            <w:rPr>
              <w:b/>
              <w:color w:val="000000"/>
            </w:rPr>
          </w:pPr>
          <w:r>
            <w:rPr>
              <w:b/>
              <w:color w:val="000000"/>
            </w:rPr>
            <w:t>VALSTYBINĖ MOKESČIŲ INSPEKCIJA PRIE LIETUVOS RESPUBLIKOS FINANSŲ MINISTERIJOS</w:t>
          </w:r>
        </w:p>
        <w:p>
          <w:pPr>
            <w:tabs>
              <w:tab w:val="left" w:leader="dot" w:pos="2268"/>
            </w:tabs>
            <w:jc w:val="center"/>
            <w:rPr>
              <w:color w:val="000000"/>
              <w:szCs w:val="24"/>
            </w:rPr>
          </w:pPr>
        </w:p>
        <w:p>
          <w:pPr>
            <w:widowControl w:val="0"/>
            <w:spacing w:line="257" w:lineRule="atLeast"/>
            <w:rPr>
              <w:color w:val="000000"/>
              <w:sz w:val="16"/>
            </w:rPr>
          </w:pPr>
          <w:r>
            <w:rPr>
              <w:color w:val="000000"/>
              <w:sz w:val="16"/>
            </w:rPr>
            <w:t>…………………………</w:t>
          </w:r>
        </w:p>
        <w:p>
          <w:pPr>
            <w:widowControl w:val="0"/>
            <w:spacing w:line="257" w:lineRule="atLeast"/>
            <w:ind w:firstLine="76"/>
            <w:rPr>
              <w:color w:val="000000"/>
              <w:sz w:val="16"/>
              <w:szCs w:val="16"/>
            </w:rPr>
          </w:pPr>
          <w:r>
            <w:rPr>
              <w:color w:val="000000"/>
              <w:sz w:val="16"/>
              <w:szCs w:val="16"/>
            </w:rPr>
            <w:t>(adresatas)</w:t>
          </w:r>
        </w:p>
        <w:p>
          <w:pPr>
            <w:widowControl w:val="0"/>
            <w:spacing w:line="257" w:lineRule="atLeast"/>
            <w:jc w:val="center"/>
            <w:rPr>
              <w:color w:val="000000"/>
              <w:szCs w:val="24"/>
            </w:rPr>
          </w:pPr>
        </w:p>
        <w:p>
          <w:pPr>
            <w:keepNext/>
            <w:jc w:val="center"/>
            <w:rPr>
              <w:b/>
              <w:bCs/>
              <w:szCs w:val="24"/>
            </w:rPr>
          </w:pPr>
          <w:r>
            <w:rPr>
              <w:b/>
              <w:bCs/>
              <w:szCs w:val="24"/>
            </w:rPr>
            <w:t xml:space="preserve">PRANEŠIMAS APIE MOKĖTINAS PALŪKANAS FR0556 </w:t>
          </w:r>
        </w:p>
        <w:p>
          <w:pPr>
            <w:tabs>
              <w:tab w:val="left" w:pos="851"/>
            </w:tabs>
            <w:jc w:val="center"/>
            <w:rPr>
              <w:bCs/>
              <w:color w:val="000000"/>
              <w:szCs w:val="24"/>
            </w:rPr>
          </w:pPr>
        </w:p>
        <w:tbl>
          <w:tblPr>
            <w:tblW w:w="0" w:type="auto"/>
            <w:jc w:val="center"/>
            <w:tblLayout w:type="fixed"/>
            <w:tblCellMar>
              <w:left w:w="0" w:type="dxa"/>
              <w:right w:w="0" w:type="dxa"/>
            </w:tblCellMar>
            <w:tblLook w:val="0000" w:firstRow="0" w:lastRow="0" w:firstColumn="0" w:lastColumn="0" w:noHBand="0" w:noVBand="0"/>
          </w:tblPr>
          <w:tblGrid>
            <w:gridCol w:w="1985"/>
            <w:gridCol w:w="600"/>
            <w:gridCol w:w="1985"/>
            <w:gridCol w:w="392"/>
          </w:tblGrid>
          <w:tr>
            <w:trPr>
              <w:gridAfter w:val="1"/>
              <w:wAfter w:w="392" w:type="dxa"/>
              <w:jc w:val="center"/>
            </w:trPr>
            <w:tc>
              <w:tcPr>
                <w:tcW w:w="1985" w:type="dxa"/>
              </w:tcPr>
              <w:p>
                <w:pPr>
                  <w:tabs>
                    <w:tab w:val="left" w:leader="dot" w:pos="1698"/>
                  </w:tabs>
                  <w:rPr>
                    <w:color w:val="000000"/>
                  </w:rPr>
                </w:pPr>
                <w:r>
                  <w:rPr>
                    <w:color w:val="000000"/>
                    <w:sz w:val="16"/>
                  </w:rPr>
                  <w:tab/>
                </w:r>
              </w:p>
            </w:tc>
            <w:tc>
              <w:tcPr>
                <w:tcW w:w="600" w:type="dxa"/>
              </w:tcPr>
              <w:p>
                <w:pPr>
                  <w:jc w:val="center"/>
                  <w:rPr>
                    <w:color w:val="000000"/>
                  </w:rPr>
                </w:pPr>
                <w:r>
                  <w:rPr>
                    <w:color w:val="000000"/>
                  </w:rPr>
                  <w:t>Nr.</w:t>
                </w:r>
              </w:p>
            </w:tc>
            <w:tc>
              <w:tcPr>
                <w:tcW w:w="1985" w:type="dxa"/>
              </w:tcPr>
              <w:p>
                <w:pPr>
                  <w:tabs>
                    <w:tab w:val="left" w:leader="dot" w:pos="1695"/>
                  </w:tabs>
                  <w:rPr>
                    <w:color w:val="000000"/>
                  </w:rPr>
                </w:pPr>
                <w:r>
                  <w:rPr>
                    <w:color w:val="000000"/>
                    <w:sz w:val="16"/>
                  </w:rPr>
                  <w:tab/>
                </w:r>
              </w:p>
            </w:tc>
          </w:tr>
          <w:tr>
            <w:trPr>
              <w:trHeight w:val="250"/>
              <w:jc w:val="center"/>
            </w:trPr>
            <w:tc>
              <w:tcPr>
                <w:tcW w:w="1985" w:type="dxa"/>
              </w:tcPr>
              <w:p>
                <w:pPr>
                  <w:tabs>
                    <w:tab w:val="left" w:pos="318"/>
                  </w:tabs>
                  <w:ind w:firstLine="546"/>
                  <w:rPr>
                    <w:sz w:val="16"/>
                    <w:szCs w:val="16"/>
                  </w:rPr>
                </w:pPr>
                <w:r>
                  <w:rPr>
                    <w:sz w:val="16"/>
                    <w:szCs w:val="16"/>
                  </w:rPr>
                  <w:t xml:space="preserve">(data)  </w:t>
                </w:r>
              </w:p>
            </w:tc>
            <w:tc>
              <w:tcPr>
                <w:tcW w:w="600" w:type="dxa"/>
              </w:tcPr>
              <w:p>
                <w:pPr>
                  <w:jc w:val="center"/>
                  <w:rPr>
                    <w:color w:val="000000"/>
                    <w:sz w:val="22"/>
                    <w:szCs w:val="22"/>
                  </w:rPr>
                </w:pPr>
              </w:p>
            </w:tc>
            <w:tc>
              <w:tcPr>
                <w:tcW w:w="2377" w:type="dxa"/>
                <w:gridSpan w:val="2"/>
              </w:tcPr>
              <w:p>
                <w:pPr>
                  <w:tabs>
                    <w:tab w:val="left" w:pos="157"/>
                  </w:tabs>
                  <w:rPr>
                    <w:color w:val="000000"/>
                    <w:sz w:val="16"/>
                    <w:szCs w:val="16"/>
                  </w:rPr>
                </w:pPr>
                <w:r>
                  <w:rPr>
                    <w:color w:val="000000"/>
                    <w:sz w:val="16"/>
                    <w:szCs w:val="16"/>
                  </w:rPr>
                  <w:t>(registracijos numeris)</w:t>
                </w:r>
              </w:p>
              <w:p>
                <w:pPr>
                  <w:tabs>
                    <w:tab w:val="left" w:pos="157"/>
                  </w:tabs>
                  <w:rPr>
                    <w:color w:val="000000"/>
                    <w:sz w:val="22"/>
                    <w:szCs w:val="22"/>
                  </w:rPr>
                </w:pPr>
              </w:p>
            </w:tc>
          </w:tr>
          <w:tr>
            <w:trPr>
              <w:gridAfter w:val="1"/>
              <w:wAfter w:w="392" w:type="dxa"/>
              <w:jc w:val="center"/>
            </w:trPr>
            <w:tc>
              <w:tcPr>
                <w:tcW w:w="4570" w:type="dxa"/>
                <w:gridSpan w:val="3"/>
              </w:tcPr>
              <w:p>
                <w:pPr>
                  <w:tabs>
                    <w:tab w:val="left" w:leader="dot" w:pos="2268"/>
                  </w:tabs>
                  <w:jc w:val="center"/>
                  <w:rPr>
                    <w:color w:val="000000"/>
                    <w:sz w:val="16"/>
                    <w:szCs w:val="16"/>
                  </w:rPr>
                </w:pPr>
                <w:r>
                  <w:rPr>
                    <w:color w:val="000000"/>
                    <w:sz w:val="16"/>
                    <w:szCs w:val="16"/>
                  </w:rPr>
                  <w:tab/>
                </w:r>
              </w:p>
              <w:p>
                <w:pPr>
                  <w:tabs>
                    <w:tab w:val="left" w:leader="dot" w:pos="2268"/>
                  </w:tabs>
                  <w:jc w:val="center"/>
                  <w:rPr>
                    <w:color w:val="000000"/>
                    <w:sz w:val="16"/>
                    <w:szCs w:val="16"/>
                  </w:rPr>
                </w:pPr>
                <w:r>
                  <w:rPr>
                    <w:color w:val="000000"/>
                    <w:sz w:val="16"/>
                    <w:szCs w:val="16"/>
                  </w:rPr>
                  <w:t>(sudarymo vieta)</w:t>
                </w:r>
              </w:p>
            </w:tc>
          </w:tr>
          <w:tr>
            <w:trPr>
              <w:gridAfter w:val="1"/>
              <w:wAfter w:w="392" w:type="dxa"/>
              <w:jc w:val="center"/>
            </w:trPr>
            <w:tc>
              <w:tcPr>
                <w:tcW w:w="4570" w:type="dxa"/>
                <w:gridSpan w:val="3"/>
              </w:tcPr>
              <w:p>
                <w:pPr>
                  <w:jc w:val="center"/>
                  <w:rPr>
                    <w:color w:val="000000"/>
                  </w:rPr>
                </w:pPr>
              </w:p>
            </w:tc>
          </w:tr>
        </w:tbl>
        <w:p>
          <w:pPr>
            <w:tabs>
              <w:tab w:val="left" w:pos="4512"/>
              <w:tab w:val="center" w:pos="4680"/>
              <w:tab w:val="left" w:pos="6360"/>
              <w:tab w:val="left" w:leader="dot" w:pos="9071"/>
              <w:tab w:val="right" w:pos="9360"/>
            </w:tabs>
            <w:rPr>
              <w:b/>
              <w:sz w:val="22"/>
              <w:szCs w:val="22"/>
              <w:lang w:eastAsia="lt-LT"/>
            </w:rPr>
          </w:pPr>
        </w:p>
        <w:p>
          <w:pPr>
            <w:tabs>
              <w:tab w:val="left" w:pos="4512"/>
              <w:tab w:val="center" w:pos="4680"/>
              <w:tab w:val="left" w:pos="6360"/>
              <w:tab w:val="left" w:pos="6946"/>
              <w:tab w:val="left" w:leader="dot" w:pos="9071"/>
              <w:tab w:val="right" w:pos="9360"/>
            </w:tabs>
            <w:rPr>
              <w:szCs w:val="24"/>
              <w:lang w:eastAsia="lt-LT"/>
            </w:rPr>
          </w:pPr>
          <w:r>
            <w:rPr>
              <w:szCs w:val="24"/>
              <w:lang w:eastAsia="lt-LT"/>
            </w:rPr>
            <w:t>Mokestinės paskolos sutartis</w:t>
            <w:tab/>
            <w:t xml:space="preserve">____________________ Nr. </w:t>
          </w:r>
        </w:p>
        <w:p>
          <w:pPr>
            <w:tabs>
              <w:tab w:val="left" w:pos="4512"/>
              <w:tab w:val="center" w:pos="4680"/>
              <w:tab w:val="left" w:pos="6360"/>
              <w:tab w:val="left" w:leader="dot" w:pos="9071"/>
              <w:tab w:val="right" w:pos="9360"/>
            </w:tabs>
            <w:ind w:firstLine="4712"/>
            <w:rPr>
              <w:sz w:val="16"/>
              <w:szCs w:val="16"/>
              <w:lang w:eastAsia="lt-LT"/>
            </w:rPr>
          </w:pPr>
          <w:r>
            <w:rPr>
              <w:sz w:val="16"/>
              <w:szCs w:val="16"/>
              <w:lang w:eastAsia="lt-LT"/>
            </w:rPr>
            <w:t xml:space="preserve">(metai, mėnuo, diena) </w:t>
          </w:r>
        </w:p>
        <w:p>
          <w:pPr>
            <w:tabs>
              <w:tab w:val="left" w:pos="4512"/>
              <w:tab w:val="center" w:pos="4680"/>
              <w:tab w:val="left" w:pos="6360"/>
              <w:tab w:val="left" w:leader="dot" w:pos="9071"/>
              <w:tab w:val="right" w:pos="9360"/>
            </w:tabs>
            <w:ind w:firstLine="171"/>
            <w:rPr>
              <w:sz w:val="22"/>
              <w:szCs w:val="22"/>
              <w:lang w:eastAsia="lt-LT"/>
            </w:rPr>
          </w:pPr>
        </w:p>
        <w:p>
          <w:pPr>
            <w:tabs>
              <w:tab w:val="left" w:pos="4512"/>
              <w:tab w:val="center" w:pos="4680"/>
              <w:tab w:val="left" w:pos="6360"/>
              <w:tab w:val="left" w:leader="dot" w:pos="9071"/>
              <w:tab w:val="right" w:pos="9360"/>
            </w:tabs>
            <w:rPr>
              <w:sz w:val="22"/>
              <w:szCs w:val="22"/>
              <w:lang w:eastAsia="lt-LT"/>
            </w:rPr>
          </w:pPr>
        </w:p>
        <w:p>
          <w:pPr>
            <w:tabs>
              <w:tab w:val="left" w:pos="4512"/>
              <w:tab w:val="center" w:pos="4680"/>
              <w:tab w:val="left" w:pos="6360"/>
              <w:tab w:val="left" w:leader="dot" w:pos="9071"/>
              <w:tab w:val="right" w:pos="9360"/>
            </w:tabs>
            <w:rPr>
              <w:szCs w:val="24"/>
              <w:lang w:eastAsia="lt-LT"/>
            </w:rPr>
          </w:pPr>
          <w:r>
            <w:rPr>
              <w:szCs w:val="24"/>
              <w:lang w:eastAsia="lt-LT"/>
            </w:rPr>
            <w:t>Keičiamoji Mokestinės paskolos sutartis</w:t>
            <w:tab/>
            <w:t>Nr.</w:t>
          </w:r>
        </w:p>
        <w:p>
          <w:pPr>
            <w:tabs>
              <w:tab w:val="left" w:pos="4512"/>
              <w:tab w:val="center" w:pos="4680"/>
              <w:tab w:val="left" w:pos="6360"/>
              <w:tab w:val="left" w:leader="dot" w:pos="9071"/>
              <w:tab w:val="right" w:pos="9360"/>
            </w:tabs>
            <w:rPr>
              <w:szCs w:val="24"/>
              <w:lang w:eastAsia="lt-LT"/>
            </w:rPr>
          </w:pPr>
        </w:p>
        <w:p>
          <w:pPr>
            <w:tabs>
              <w:tab w:val="left" w:pos="4512"/>
              <w:tab w:val="center" w:pos="4680"/>
              <w:tab w:val="left" w:pos="6360"/>
              <w:tab w:val="left" w:leader="dot" w:pos="9071"/>
              <w:tab w:val="right" w:pos="9360"/>
            </w:tabs>
            <w:rPr>
              <w:b/>
              <w:bCs/>
              <w:szCs w:val="24"/>
              <w:lang w:eastAsia="lt-LT"/>
            </w:rPr>
          </w:pPr>
        </w:p>
        <w:p>
          <w:pPr>
            <w:tabs>
              <w:tab w:val="left" w:pos="4512"/>
              <w:tab w:val="center" w:pos="4680"/>
              <w:tab w:val="left" w:pos="6804"/>
              <w:tab w:val="left" w:leader="dot" w:pos="9071"/>
              <w:tab w:val="right" w:pos="9360"/>
            </w:tabs>
            <w:rPr>
              <w:bCs/>
              <w:color w:val="000000"/>
              <w:sz w:val="22"/>
              <w:szCs w:val="24"/>
              <w:lang w:eastAsia="lt-LT"/>
            </w:rPr>
          </w:pPr>
          <w:r>
            <w:rPr>
              <w:bCs/>
              <w:szCs w:val="24"/>
              <w:lang w:eastAsia="lt-LT"/>
            </w:rPr>
            <w:t xml:space="preserve">Atidėjimo / išdėstymo </w:t>
          </w:r>
          <w:r>
            <w:rPr>
              <w:bCs/>
              <w:color w:val="000000"/>
              <w:szCs w:val="24"/>
              <w:lang w:eastAsia="lt-LT"/>
            </w:rPr>
            <w:t>laikotarpis</w:t>
          </w:r>
          <w:r>
            <w:rPr>
              <w:b/>
              <w:bCs/>
              <w:color w:val="000000"/>
              <w:sz w:val="22"/>
              <w:szCs w:val="24"/>
              <w:lang w:eastAsia="lt-LT"/>
            </w:rPr>
            <w:t xml:space="preserve">                            </w:t>
          </w:r>
          <w:r>
            <w:rPr>
              <w:bCs/>
              <w:color w:val="000000"/>
              <w:sz w:val="22"/>
              <w:szCs w:val="24"/>
              <w:lang w:eastAsia="lt-LT"/>
            </w:rPr>
            <w:t>_____________________</w:t>
          </w:r>
          <w:r>
            <w:rPr>
              <w:b/>
              <w:bCs/>
              <w:color w:val="000000"/>
              <w:sz w:val="22"/>
              <w:szCs w:val="24"/>
              <w:lang w:eastAsia="lt-LT"/>
            </w:rPr>
            <w:t xml:space="preserve"> </w:t>
          </w:r>
        </w:p>
        <w:p>
          <w:pPr>
            <w:tabs>
              <w:tab w:val="left" w:pos="4512"/>
              <w:tab w:val="center" w:pos="4680"/>
              <w:tab w:val="left" w:pos="6360"/>
              <w:tab w:val="left" w:leader="dot" w:pos="9071"/>
              <w:tab w:val="right" w:pos="9360"/>
            </w:tabs>
            <w:ind w:firstLine="4674"/>
            <w:rPr>
              <w:color w:val="000000"/>
              <w:sz w:val="16"/>
              <w:szCs w:val="16"/>
              <w:lang w:eastAsia="lt-LT"/>
            </w:rPr>
          </w:pPr>
          <w:r>
            <w:rPr>
              <w:color w:val="000000"/>
              <w:sz w:val="16"/>
              <w:szCs w:val="16"/>
              <w:lang w:eastAsia="lt-LT"/>
            </w:rPr>
            <w:t>(metai, mėnuo, diena)</w:t>
          </w:r>
        </w:p>
        <w:p>
          <w:pPr>
            <w:tabs>
              <w:tab w:val="left" w:pos="4512"/>
              <w:tab w:val="center" w:pos="4680"/>
              <w:tab w:val="left" w:leader="dot" w:pos="9071"/>
              <w:tab w:val="right" w:pos="9360"/>
            </w:tabs>
            <w:ind w:firstLine="4902"/>
            <w:rPr>
              <w:color w:val="000000"/>
              <w:sz w:val="22"/>
              <w:szCs w:val="22"/>
              <w:lang w:eastAsia="lt-LT"/>
            </w:rPr>
          </w:pPr>
          <w:r>
            <w:rPr>
              <w:color w:val="000000"/>
              <w:sz w:val="22"/>
              <w:szCs w:val="22"/>
              <w:lang w:eastAsia="lt-LT"/>
            </w:rPr>
            <w:t>_____________________</w:t>
          </w:r>
        </w:p>
        <w:p>
          <w:pPr>
            <w:tabs>
              <w:tab w:val="left" w:pos="4512"/>
              <w:tab w:val="center" w:pos="4680"/>
              <w:tab w:val="left" w:pos="6360"/>
              <w:tab w:val="left" w:leader="dot" w:pos="9071"/>
              <w:tab w:val="right" w:pos="9360"/>
            </w:tabs>
            <w:ind w:firstLine="4712"/>
            <w:rPr>
              <w:color w:val="000000"/>
              <w:sz w:val="16"/>
              <w:szCs w:val="16"/>
              <w:lang w:eastAsia="lt-LT"/>
            </w:rPr>
          </w:pPr>
          <w:r>
            <w:rPr>
              <w:color w:val="000000"/>
              <w:sz w:val="16"/>
              <w:szCs w:val="16"/>
              <w:lang w:eastAsia="lt-LT"/>
            </w:rPr>
            <w:t>(metai, mėnuo, diena)</w:t>
          </w:r>
        </w:p>
        <w:p>
          <w:pPr>
            <w:tabs>
              <w:tab w:val="left" w:pos="4512"/>
              <w:tab w:val="center" w:pos="4680"/>
              <w:tab w:val="left" w:pos="6360"/>
              <w:tab w:val="left" w:leader="dot" w:pos="9071"/>
              <w:tab w:val="right" w:pos="9360"/>
            </w:tabs>
            <w:ind w:firstLine="4512"/>
            <w:rPr>
              <w:sz w:val="16"/>
              <w:szCs w:val="22"/>
              <w:lang w:eastAsia="lt-LT"/>
            </w:rPr>
          </w:pPr>
          <w:r>
            <w:rPr>
              <w:sz w:val="16"/>
              <w:szCs w:val="22"/>
              <w:lang w:eastAsia="lt-LT"/>
            </w:rPr>
            <w:tab/>
            <w:t xml:space="preserve">                       </w:t>
          </w:r>
        </w:p>
        <w:p>
          <w:pPr>
            <w:tabs>
              <w:tab w:val="left" w:pos="4512"/>
              <w:tab w:val="center" w:pos="4680"/>
              <w:tab w:val="left" w:pos="6360"/>
              <w:tab w:val="left" w:leader="dot" w:pos="9071"/>
              <w:tab w:val="right" w:pos="9360"/>
            </w:tabs>
            <w:ind w:firstLine="5880"/>
            <w:rPr>
              <w:sz w:val="22"/>
              <w:szCs w:val="22"/>
              <w:lang w:eastAsia="lt-LT"/>
            </w:rPr>
          </w:pPr>
        </w:p>
        <w:p>
          <w:pPr>
            <w:tabs>
              <w:tab w:val="left" w:pos="4512"/>
              <w:tab w:val="center" w:pos="4680"/>
              <w:tab w:val="left" w:pos="6360"/>
              <w:tab w:val="left" w:leader="dot" w:pos="9071"/>
              <w:tab w:val="right" w:pos="9360"/>
            </w:tabs>
            <w:ind w:firstLine="4512"/>
            <w:rPr>
              <w:sz w:val="16"/>
              <w:szCs w:val="22"/>
              <w:lang w:eastAsia="lt-LT"/>
            </w:rPr>
          </w:pPr>
          <w:r>
            <w:rPr>
              <w:sz w:val="16"/>
              <w:szCs w:val="22"/>
              <w:lang w:eastAsia="lt-LT"/>
            </w:rPr>
            <w:tab/>
            <w:t xml:space="preserve">                       </w:t>
          </w:r>
        </w:p>
        <w:tbl>
          <w:tblPr>
            <w:tblW w:w="0" w:type="auto"/>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880"/>
            <w:gridCol w:w="720"/>
            <w:gridCol w:w="1980"/>
          </w:tblGrid>
          <w:tr>
            <w:tc>
              <w:tcPr>
                <w:tcW w:w="900" w:type="dxa"/>
                <w:tcBorders>
                  <w:top w:val="nil"/>
                  <w:left w:val="nil"/>
                  <w:bottom w:val="single" w:sz="4" w:space="0" w:color="auto"/>
                </w:tcBorders>
              </w:tcPr>
              <w:p>
                <w:pPr>
                  <w:tabs>
                    <w:tab w:val="left" w:pos="4512"/>
                    <w:tab w:val="center" w:pos="4680"/>
                    <w:tab w:val="left" w:pos="6360"/>
                    <w:tab w:val="left" w:leader="dot" w:pos="9071"/>
                    <w:tab w:val="right" w:pos="9360"/>
                  </w:tabs>
                  <w:rPr>
                    <w:sz w:val="22"/>
                    <w:szCs w:val="22"/>
                    <w:u w:val="words"/>
                    <w:lang w:eastAsia="lt-LT"/>
                  </w:rPr>
                </w:pPr>
              </w:p>
            </w:tc>
            <w:tc>
              <w:tcPr>
                <w:tcW w:w="2880" w:type="dxa"/>
                <w:shd w:val="clear" w:color="auto" w:fill="FFFFFF" w:themeFill="background1"/>
                <w:vAlign w:val="center"/>
              </w:tcPr>
              <w:p>
                <w:pPr>
                  <w:tabs>
                    <w:tab w:val="left" w:pos="4512"/>
                    <w:tab w:val="center" w:pos="4680"/>
                    <w:tab w:val="left" w:pos="6360"/>
                    <w:tab w:val="left" w:leader="dot" w:pos="9071"/>
                    <w:tab w:val="right" w:pos="9360"/>
                  </w:tabs>
                  <w:jc w:val="center"/>
                  <w:rPr>
                    <w:szCs w:val="24"/>
                    <w:lang w:eastAsia="lt-LT"/>
                  </w:rPr>
                </w:pPr>
              </w:p>
              <w:p>
                <w:pPr>
                  <w:tabs>
                    <w:tab w:val="left" w:pos="4512"/>
                    <w:tab w:val="center" w:pos="4680"/>
                    <w:tab w:val="left" w:pos="6360"/>
                    <w:tab w:val="left" w:leader="dot" w:pos="9071"/>
                    <w:tab w:val="right" w:pos="9360"/>
                  </w:tabs>
                  <w:jc w:val="center"/>
                  <w:rPr>
                    <w:szCs w:val="24"/>
                    <w:lang w:eastAsia="lt-LT"/>
                  </w:rPr>
                </w:pPr>
                <w:r>
                  <w:rPr>
                    <w:szCs w:val="24"/>
                    <w:lang w:eastAsia="lt-LT"/>
                  </w:rPr>
                  <w:t>Palūkanų mokėjimo terminas</w:t>
                </w:r>
              </w:p>
            </w:tc>
            <w:tc>
              <w:tcPr>
                <w:tcW w:w="2700" w:type="dxa"/>
                <w:gridSpan w:val="2"/>
                <w:shd w:val="clear" w:color="auto" w:fill="FFFFFF" w:themeFill="background1"/>
              </w:tcPr>
              <w:p>
                <w:pPr>
                  <w:tabs>
                    <w:tab w:val="left" w:pos="4512"/>
                    <w:tab w:val="center" w:pos="4680"/>
                    <w:tab w:val="left" w:pos="6360"/>
                    <w:tab w:val="left" w:leader="dot" w:pos="9071"/>
                    <w:tab w:val="right" w:pos="9360"/>
                  </w:tabs>
                  <w:rPr>
                    <w:szCs w:val="24"/>
                    <w:lang w:eastAsia="lt-LT"/>
                  </w:rPr>
                </w:pPr>
              </w:p>
              <w:p>
                <w:pPr>
                  <w:tabs>
                    <w:tab w:val="left" w:pos="4512"/>
                    <w:tab w:val="center" w:pos="4680"/>
                    <w:tab w:val="left" w:pos="6360"/>
                    <w:tab w:val="left" w:leader="dot" w:pos="9071"/>
                    <w:tab w:val="right" w:pos="9360"/>
                  </w:tabs>
                  <w:rPr>
                    <w:szCs w:val="24"/>
                    <w:lang w:eastAsia="lt-LT"/>
                  </w:rPr>
                </w:pPr>
                <w:r>
                  <w:rPr>
                    <w:szCs w:val="24"/>
                    <w:lang w:eastAsia="lt-LT"/>
                  </w:rPr>
                  <w:t>Palūkanų suma (Eur)</w:t>
                </w:r>
              </w:p>
            </w:tc>
          </w:tr>
          <w:tr>
            <w:trPr>
              <w:cantSplit/>
              <w:trHeight w:val="386"/>
            </w:trPr>
            <w:tc>
              <w:tcPr>
                <w:tcW w:w="900" w:type="dxa"/>
                <w:shd w:val="clear" w:color="auto" w:fill="auto"/>
              </w:tcPr>
              <w:p>
                <w:pPr>
                  <w:tabs>
                    <w:tab w:val="left" w:pos="4512"/>
                    <w:tab w:val="center" w:pos="4680"/>
                    <w:tab w:val="left" w:pos="6360"/>
                    <w:tab w:val="left" w:leader="dot" w:pos="9071"/>
                    <w:tab w:val="right" w:pos="9360"/>
                  </w:tabs>
                  <w:jc w:val="center"/>
                  <w:rPr>
                    <w:sz w:val="22"/>
                    <w:szCs w:val="24"/>
                    <w:lang w:eastAsia="lt-LT"/>
                  </w:rPr>
                </w:pPr>
                <w:r>
                  <w:rPr>
                    <w:sz w:val="22"/>
                    <w:szCs w:val="24"/>
                    <w:lang w:eastAsia="lt-LT"/>
                  </w:rPr>
                  <w:t>1</w:t>
                </w:r>
              </w:p>
            </w:tc>
            <w:tc>
              <w:tcPr>
                <w:tcW w:w="2880" w:type="dxa"/>
              </w:tcPr>
              <w:p>
                <w:pPr>
                  <w:tabs>
                    <w:tab w:val="left" w:pos="4512"/>
                    <w:tab w:val="center" w:pos="4680"/>
                    <w:tab w:val="left" w:pos="6360"/>
                    <w:tab w:val="left" w:leader="dot" w:pos="9071"/>
                    <w:tab w:val="right" w:pos="9360"/>
                  </w:tabs>
                  <w:rPr>
                    <w:szCs w:val="24"/>
                    <w:lang w:eastAsia="lt-LT"/>
                  </w:rPr>
                </w:pPr>
              </w:p>
            </w:tc>
            <w:tc>
              <w:tcPr>
                <w:tcW w:w="2700" w:type="dxa"/>
                <w:gridSpan w:val="2"/>
              </w:tcPr>
              <w:p>
                <w:pPr>
                  <w:tabs>
                    <w:tab w:val="left" w:pos="4512"/>
                    <w:tab w:val="center" w:pos="4680"/>
                    <w:tab w:val="left" w:pos="6360"/>
                    <w:tab w:val="left" w:leader="dot" w:pos="9071"/>
                    <w:tab w:val="right" w:pos="9360"/>
                  </w:tabs>
                  <w:rPr>
                    <w:szCs w:val="24"/>
                    <w:lang w:eastAsia="lt-LT"/>
                  </w:rPr>
                </w:pPr>
              </w:p>
            </w:tc>
          </w:tr>
          <w:tr>
            <w:trPr>
              <w:cantSplit/>
              <w:trHeight w:val="354"/>
            </w:trPr>
            <w:tc>
              <w:tcPr>
                <w:tcW w:w="900" w:type="dxa"/>
                <w:shd w:val="clear" w:color="auto" w:fill="FFFFFF" w:themeFill="background1"/>
              </w:tcPr>
              <w:p>
                <w:pPr>
                  <w:tabs>
                    <w:tab w:val="left" w:pos="4512"/>
                    <w:tab w:val="center" w:pos="4680"/>
                    <w:tab w:val="left" w:pos="6360"/>
                    <w:tab w:val="left" w:leader="dot" w:pos="9071"/>
                    <w:tab w:val="right" w:pos="9360"/>
                  </w:tabs>
                  <w:jc w:val="center"/>
                  <w:rPr>
                    <w:sz w:val="22"/>
                    <w:szCs w:val="24"/>
                    <w:lang w:eastAsia="lt-LT"/>
                  </w:rPr>
                </w:pPr>
                <w:r>
                  <w:rPr>
                    <w:sz w:val="22"/>
                    <w:szCs w:val="24"/>
                    <w:lang w:eastAsia="lt-LT"/>
                  </w:rPr>
                  <w:t>2</w:t>
                </w:r>
              </w:p>
            </w:tc>
            <w:tc>
              <w:tcPr>
                <w:tcW w:w="2880" w:type="dxa"/>
              </w:tcPr>
              <w:p>
                <w:pPr>
                  <w:tabs>
                    <w:tab w:val="left" w:pos="4512"/>
                    <w:tab w:val="center" w:pos="4680"/>
                    <w:tab w:val="left" w:pos="6360"/>
                    <w:tab w:val="left" w:leader="dot" w:pos="9071"/>
                    <w:tab w:val="right" w:pos="9360"/>
                  </w:tabs>
                  <w:rPr>
                    <w:szCs w:val="24"/>
                    <w:lang w:eastAsia="lt-LT"/>
                  </w:rPr>
                </w:pPr>
              </w:p>
            </w:tc>
            <w:tc>
              <w:tcPr>
                <w:tcW w:w="2700" w:type="dxa"/>
                <w:gridSpan w:val="2"/>
              </w:tcPr>
              <w:p>
                <w:pPr>
                  <w:tabs>
                    <w:tab w:val="left" w:pos="4512"/>
                    <w:tab w:val="center" w:pos="4680"/>
                    <w:tab w:val="left" w:pos="6360"/>
                    <w:tab w:val="left" w:leader="dot" w:pos="9071"/>
                    <w:tab w:val="right" w:pos="9360"/>
                  </w:tabs>
                  <w:rPr>
                    <w:szCs w:val="24"/>
                    <w:lang w:eastAsia="lt-LT"/>
                  </w:rPr>
                </w:pPr>
              </w:p>
            </w:tc>
          </w:tr>
          <w:tr>
            <w:trPr>
              <w:cantSplit/>
              <w:trHeight w:val="349"/>
            </w:trPr>
            <w:tc>
              <w:tcPr>
                <w:tcW w:w="900" w:type="dxa"/>
                <w:shd w:val="clear" w:color="auto" w:fill="FFFFFF" w:themeFill="background1"/>
              </w:tcPr>
              <w:p>
                <w:pPr>
                  <w:tabs>
                    <w:tab w:val="left" w:pos="4512"/>
                    <w:tab w:val="center" w:pos="4680"/>
                    <w:tab w:val="left" w:pos="6360"/>
                    <w:tab w:val="left" w:leader="dot" w:pos="9071"/>
                    <w:tab w:val="right" w:pos="9360"/>
                  </w:tabs>
                  <w:jc w:val="center"/>
                  <w:rPr>
                    <w:sz w:val="22"/>
                    <w:szCs w:val="24"/>
                    <w:lang w:eastAsia="lt-LT"/>
                  </w:rPr>
                </w:pPr>
                <w:r>
                  <w:rPr>
                    <w:sz w:val="22"/>
                    <w:szCs w:val="24"/>
                    <w:lang w:eastAsia="lt-LT"/>
                  </w:rPr>
                  <w:t>3</w:t>
                </w:r>
              </w:p>
            </w:tc>
            <w:tc>
              <w:tcPr>
                <w:tcW w:w="2880" w:type="dxa"/>
              </w:tcPr>
              <w:p>
                <w:pPr>
                  <w:tabs>
                    <w:tab w:val="left" w:pos="4512"/>
                    <w:tab w:val="center" w:pos="4680"/>
                    <w:tab w:val="left" w:pos="6360"/>
                    <w:tab w:val="left" w:leader="dot" w:pos="9071"/>
                    <w:tab w:val="right" w:pos="9360"/>
                  </w:tabs>
                  <w:rPr>
                    <w:szCs w:val="24"/>
                    <w:lang w:eastAsia="lt-LT"/>
                  </w:rPr>
                </w:pPr>
              </w:p>
            </w:tc>
            <w:tc>
              <w:tcPr>
                <w:tcW w:w="2700" w:type="dxa"/>
                <w:gridSpan w:val="2"/>
                <w:tcBorders>
                  <w:bottom w:val="single" w:sz="4" w:space="0" w:color="auto"/>
                </w:tcBorders>
              </w:tcPr>
              <w:p>
                <w:pPr>
                  <w:tabs>
                    <w:tab w:val="left" w:pos="4512"/>
                    <w:tab w:val="center" w:pos="4680"/>
                    <w:tab w:val="left" w:pos="6360"/>
                    <w:tab w:val="left" w:leader="dot" w:pos="9071"/>
                    <w:tab w:val="right" w:pos="9360"/>
                  </w:tabs>
                  <w:rPr>
                    <w:szCs w:val="24"/>
                    <w:lang w:eastAsia="lt-LT"/>
                  </w:rPr>
                </w:pPr>
              </w:p>
            </w:tc>
          </w:tr>
          <w:tr>
            <w:trPr>
              <w:cantSplit/>
              <w:trHeight w:val="346"/>
            </w:trPr>
            <w:tc>
              <w:tcPr>
                <w:tcW w:w="3780" w:type="dxa"/>
                <w:gridSpan w:val="2"/>
                <w:tcBorders>
                  <w:left w:val="nil"/>
                  <w:bottom w:val="nil"/>
                </w:tcBorders>
              </w:tcPr>
              <w:p>
                <w:pPr>
                  <w:tabs>
                    <w:tab w:val="left" w:pos="4512"/>
                    <w:tab w:val="center" w:pos="4680"/>
                    <w:tab w:val="left" w:pos="6360"/>
                    <w:tab w:val="left" w:leader="dot" w:pos="9071"/>
                    <w:tab w:val="right" w:pos="9360"/>
                  </w:tabs>
                  <w:jc w:val="center"/>
                  <w:rPr>
                    <w:szCs w:val="24"/>
                    <w:lang w:eastAsia="lt-LT"/>
                  </w:rPr>
                </w:pPr>
                <w:r>
                  <w:rPr>
                    <w:szCs w:val="24"/>
                    <w:lang w:eastAsia="lt-LT"/>
                  </w:rPr>
                  <w:t>Iš viso:</w:t>
                </w:r>
              </w:p>
            </w:tc>
            <w:tc>
              <w:tcPr>
                <w:tcW w:w="720" w:type="dxa"/>
                <w:tcBorders>
                  <w:right w:val="nil"/>
                </w:tcBorders>
                <w:shd w:val="clear" w:color="auto" w:fill="auto"/>
              </w:tcPr>
              <w:p>
                <w:pPr>
                  <w:tabs>
                    <w:tab w:val="left" w:pos="4512"/>
                    <w:tab w:val="center" w:pos="4680"/>
                    <w:tab w:val="left" w:pos="6360"/>
                    <w:tab w:val="left" w:leader="dot" w:pos="9071"/>
                    <w:tab w:val="right" w:pos="9360"/>
                  </w:tabs>
                  <w:rPr>
                    <w:szCs w:val="24"/>
                    <w:lang w:eastAsia="lt-LT"/>
                  </w:rPr>
                </w:pPr>
              </w:p>
            </w:tc>
            <w:tc>
              <w:tcPr>
                <w:tcW w:w="1980" w:type="dxa"/>
                <w:tcBorders>
                  <w:left w:val="nil"/>
                </w:tcBorders>
              </w:tcPr>
              <w:p>
                <w:pPr>
                  <w:tabs>
                    <w:tab w:val="left" w:pos="4512"/>
                    <w:tab w:val="center" w:pos="4680"/>
                    <w:tab w:val="left" w:pos="6360"/>
                    <w:tab w:val="left" w:leader="dot" w:pos="9071"/>
                    <w:tab w:val="right" w:pos="9360"/>
                  </w:tabs>
                  <w:rPr>
                    <w:sz w:val="22"/>
                    <w:szCs w:val="22"/>
                    <w:lang w:eastAsia="lt-LT"/>
                  </w:rPr>
                </w:pPr>
              </w:p>
            </w:tc>
          </w:tr>
        </w:tbl>
        <w:p>
          <w:pPr>
            <w:tabs>
              <w:tab w:val="left" w:pos="4512"/>
              <w:tab w:val="center" w:pos="4680"/>
              <w:tab w:val="left" w:pos="6360"/>
              <w:tab w:val="left" w:leader="dot" w:pos="9071"/>
              <w:tab w:val="right" w:pos="9360"/>
            </w:tabs>
            <w:rPr>
              <w:sz w:val="22"/>
              <w:szCs w:val="22"/>
              <w:lang w:eastAsia="lt-LT"/>
            </w:rPr>
          </w:pPr>
        </w:p>
        <w:p>
          <w:pPr>
            <w:tabs>
              <w:tab w:val="left" w:pos="4512"/>
              <w:tab w:val="center" w:pos="4680"/>
              <w:tab w:val="left" w:pos="6360"/>
              <w:tab w:val="left" w:leader="dot" w:pos="9071"/>
              <w:tab w:val="right" w:pos="9360"/>
            </w:tabs>
            <w:rPr>
              <w:sz w:val="22"/>
              <w:szCs w:val="22"/>
              <w:lang w:eastAsia="lt-LT"/>
            </w:rPr>
          </w:pPr>
        </w:p>
        <w:p>
          <w:pPr>
            <w:tabs>
              <w:tab w:val="left" w:pos="4512"/>
              <w:tab w:val="center" w:pos="4680"/>
              <w:tab w:val="left" w:pos="6360"/>
              <w:tab w:val="left" w:leader="dot" w:pos="9071"/>
              <w:tab w:val="right" w:pos="9360"/>
            </w:tabs>
            <w:ind w:firstLine="709"/>
            <w:jc w:val="both"/>
            <w:rPr>
              <w:color w:val="000000"/>
              <w:szCs w:val="24"/>
              <w:lang w:eastAsia="lt-LT"/>
            </w:rPr>
          </w:pPr>
          <w:r>
            <w:rPr>
              <w:szCs w:val="24"/>
              <w:lang w:eastAsia="lt-LT"/>
            </w:rPr>
            <w:t xml:space="preserve">Paaiškiname, kad kartu su Mokestinės paskolos sutarties sumokėjimo grafike nurodyta mėnesio įmoka turite mokėti ir palūkanas, kurios yra apskaičiuojamos taip: MPS likutis (likęs iki įmokos mokėjimo termino pabaigos) padauginamas iš palūkanų normos (procentais), gauta suma padauginama iš </w:t>
          </w:r>
          <w:r>
            <w:rPr>
              <w:color w:val="000000"/>
              <w:szCs w:val="24"/>
              <w:lang w:eastAsia="lt-LT"/>
            </w:rPr>
            <w:t xml:space="preserve">dienų skaičiaus. </w:t>
          </w:r>
          <w:r>
            <w:rPr>
              <w:color w:val="000000"/>
              <w:szCs w:val="24"/>
              <w:shd w:val="clear" w:color="auto" w:fill="FFFFFF"/>
              <w:lang w:eastAsia="lt-LT"/>
            </w:rPr>
            <w:t xml:space="preserve">Palūkanų dydžiai skelbiami Lietuvos Respublikos finansų ministerijos interneto svetainės, kurios adresas </w:t>
          </w:r>
          <w:r>
            <w:rPr>
              <w:color w:val="000000"/>
              <w:szCs w:val="24"/>
              <w:lang w:eastAsia="lt-LT"/>
            </w:rPr>
            <w:t>www.finmin.lrv.lt, skilties „</w:t>
          </w:r>
          <w:r>
            <w:rPr>
              <w:bCs/>
              <w:color w:val="000000"/>
              <w:spacing w:val="5"/>
              <w:szCs w:val="24"/>
              <w:lang w:eastAsia="lt-LT"/>
            </w:rPr>
            <w:t>Aktualūs valstybės finansų duomenys</w:t>
          </w:r>
          <w:r>
            <w:rPr>
              <w:color w:val="000000"/>
              <w:szCs w:val="24"/>
              <w:lang w:eastAsia="lt-LT"/>
            </w:rPr>
            <w:t xml:space="preserve">“ dalies „Palūkanos ir delspinigiai“ skyriuje „Palūkanos už mokestinę paskolą“. </w:t>
          </w:r>
        </w:p>
        <w:p>
          <w:pPr>
            <w:tabs>
              <w:tab w:val="left" w:pos="4512"/>
              <w:tab w:val="center" w:pos="4680"/>
              <w:tab w:val="left" w:pos="6360"/>
              <w:tab w:val="left" w:leader="dot" w:pos="9071"/>
              <w:tab w:val="right" w:pos="9360"/>
            </w:tabs>
            <w:ind w:firstLine="709"/>
            <w:jc w:val="both"/>
            <w:rPr>
              <w:color w:val="000000"/>
              <w:szCs w:val="24"/>
              <w:u w:val="single"/>
              <w:lang w:val="en-US" w:eastAsia="lt-LT"/>
            </w:rPr>
          </w:pPr>
          <w:r>
            <w:rPr>
              <w:color w:val="000000"/>
              <w:szCs w:val="24"/>
              <w:shd w:val="clear" w:color="auto" w:fill="FFFFFF"/>
              <w:lang w:eastAsia="lt-LT"/>
            </w:rPr>
            <w:t>Apskaičiuotų palūkanų suma gali keistis, atsižvelgiant į Jūsų atliekamus mokėjimus, į įmokų pagal MPS, palūkanų mokėjimą laiku (sumokėjus įmokas pagal sumokėjimo grafiką pavėluotai, skaičiuojamos padidintos palūkanos, o palūkanas sumokėjus pavėluotai – palūkanų delspinigiai).</w:t>
          </w:r>
        </w:p>
        <w:p>
          <w:pPr>
            <w:ind w:firstLine="709"/>
            <w:jc w:val="both"/>
            <w:rPr>
              <w:color w:val="000000"/>
              <w:szCs w:val="24"/>
            </w:rPr>
          </w:pPr>
          <w:r>
            <w:rPr>
              <w:color w:val="000000"/>
              <w:szCs w:val="24"/>
            </w:rPr>
            <w:t>Detalią informaciją apie MPS, apskaičiuotas palūkanas ir padidintas palūkanas galite pažiūrėti, prisijungę prie Valstybinės mokesčių inspekcijos portalo e. VMI autorizuotų elektroninių paslaugų srities Mano VMI.</w:t>
          </w:r>
        </w:p>
        <w:p>
          <w:pPr>
            <w:ind w:firstLine="709"/>
            <w:jc w:val="both"/>
            <w:rPr>
              <w:color w:val="000000"/>
              <w:szCs w:val="24"/>
              <w:lang w:val="en-US"/>
            </w:rPr>
          </w:pPr>
          <w:r>
            <w:rPr>
              <w:color w:val="000000"/>
              <w:szCs w:val="24"/>
            </w:rPr>
            <w:t xml:space="preserve">Palūkanos, padidintos palūkanos, palūkanų delspinigiai mokami įmokos kodu </w:t>
          </w:r>
          <w:r>
            <w:rPr>
              <w:color w:val="000000"/>
              <w:szCs w:val="24"/>
              <w:lang w:val="en-US"/>
            </w:rPr>
            <w:t>8250.</w:t>
          </w:r>
        </w:p>
        <w:p>
          <w:pPr>
            <w:tabs>
              <w:tab w:val="left" w:leader="dot" w:pos="3289"/>
              <w:tab w:val="left" w:pos="3816"/>
              <w:tab w:val="center" w:pos="4680"/>
              <w:tab w:val="left" w:leader="underscore" w:pos="5808"/>
              <w:tab w:val="left" w:pos="6360"/>
              <w:tab w:val="left" w:leader="dot" w:pos="9071"/>
              <w:tab w:val="right" w:pos="9360"/>
            </w:tabs>
            <w:rPr>
              <w:color w:val="000000"/>
              <w:sz w:val="16"/>
              <w:szCs w:val="22"/>
              <w:lang w:eastAsia="lt-LT"/>
            </w:rPr>
          </w:pPr>
        </w:p>
        <w:sdt>
          <w:sdtPr>
            <w:alias w:val="pabaiga"/>
            <w:tag w:val="part_f530cd103edc4a509d269b6c4e1dab23"/>
            <w:lock w:val="sdtLocked"/>
            <w:richText/>
          </w:sdtPr>
          <w:sdtContent>
            <w:p>
              <w:pPr>
                <w:jc w:val="center"/>
                <w:rPr>
                  <w:szCs w:val="24"/>
                  <w:lang w:eastAsia="lt-LT"/>
                </w:rPr>
              </w:pPr>
              <w:r>
                <w:rPr>
                  <w:sz w:val="22"/>
                  <w:szCs w:val="22"/>
                </w:rPr>
                <w:t>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a7a6f00a3311f08e9f87c0d053bf09">
            <w:r w:rsidRPr="00532B9F">
              <w:rPr>
                <w:rFonts w:ascii="Times New Roman" w:eastAsia="MS Mincho" w:hAnsi="Times New Roman"/>
                <w:sz w:val="20"/>
                <w:iCs/>
                <w:color w:val="0000FF" w:themeColor="hyperlink"/>
                <w:u w:val="single"/>
              </w:rPr>
              <w:t>VA-23</w:t>
            </w:r>
          </w:fldSimple>
          <w:r>
            <w:rPr>
              <w:rFonts w:ascii="Times New Roman" w:eastAsia="MS Mincho" w:hAnsi="Times New Roman"/>
              <w:sz w:val="20"/>
              <w:iCs/>
            </w:rPr>
            <w:t>,
2025-03-26,
paskelbta TAR 2025-03-26, i. k. 2025-04962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2024 m. spalio 23 d. įsakymo Nr. VA-83 „Dėl Mokestinės nepriemokos ar baudos už administracinį nusižengimą mokėjimo atidėjimo ir (ar) išdėstymo taisyklių ir formų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2"/>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val="en-AU" w:eastAsia="lt-LT"/>
        </w:rPr>
      </w:pPr>
      <w:r>
        <w:rPr>
          <w:sz w:val="20"/>
          <w:lang w:val="en-AU" w:eastAsia="lt-LT"/>
        </w:rPr>
        <w:separator/>
      </w:r>
    </w:p>
  </w:endnote>
  <w:endnote w:type="continuationSeparator" w:id="0">
    <w:p>
      <w:pPr>
        <w:rPr>
          <w:sz w:val="20"/>
          <w:lang w:val="en-AU" w:eastAsia="lt-LT"/>
        </w:rPr>
      </w:pPr>
      <w:r>
        <w:rPr>
          <w:sz w:val="20"/>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LT">
    <w:altName w:val="Arial"/>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rebuchet MS">
    <w:altName w:val="Trebuchet MS"/>
    <w:panose1 w:val="020B0603020202020204"/>
    <w:charset w:val="BA"/>
    <w:family w:val="swiss"/>
    <w:pitch w:val="variable"/>
    <w:sig w:usb0="000006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val="en-AU" w:eastAsia="lt-LT"/>
        </w:rPr>
      </w:pPr>
      <w:r>
        <w:rPr>
          <w:sz w:val="20"/>
          <w:lang w:val="en-AU" w:eastAsia="lt-LT"/>
        </w:rPr>
        <w:separator/>
      </w:r>
    </w:p>
  </w:footnote>
  <w:footnote w:type="continuationSeparator" w:id="0">
    <w:p>
      <w:pPr>
        <w:rPr>
          <w:sz w:val="20"/>
          <w:lang w:val="en-AU" w:eastAsia="lt-LT"/>
        </w:rPr>
      </w:pPr>
      <w:r>
        <w:rPr>
          <w:sz w:val="20"/>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w:t>
    </w:r>
    <w:r>
      <w:rPr>
        <w:szCs w:val="24"/>
        <w:lang w:eastAsia="lt-LT"/>
      </w:rPr>
      <w:fldChar w:fldCharType="end"/>
    </w:r>
  </w:p>
  <w:p>
    <w:pPr>
      <w:tabs>
        <w:tab w:val="center" w:pos="4680"/>
        <w:tab w:val="right" w:pos="9360"/>
      </w:tabs>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 </w:instrText>
    </w:r>
    <w:r>
      <w:instrText>MERGEFORMAT</w:instrText>
    </w:r>
    <w:r>
      <w:fldChar w:fldCharType="separate"/>
    </w:r>
    <w:r>
      <w:t>3</w:t>
    </w:r>
    <w:r>
      <w:fldChar w:fldCharType="end"/>
    </w:r>
  </w:p>
  <w:p>
    <w:pPr>
      <w:tabs>
        <w:tab w:val="center" w:pos="4680"/>
        <w:tab w:val="right" w:pos="9360"/>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3</w:t>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3</w:t>
    </w:r>
  </w:p>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13</w:t>
    </w:r>
    <w:r>
      <w:rPr>
        <w:szCs w:val="24"/>
        <w:lang w:eastAsia="lt-LT"/>
      </w:rPr>
      <w:fldChar w:fldCharType="end"/>
    </w:r>
  </w:p>
  <w:p>
    <w:pPr>
      <w:tabs>
        <w:tab w:val="center" w:pos="4680"/>
        <w:tab w:val="right" w:pos="9360"/>
      </w:tabs>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Cs w:val="22"/>
        <w:lang w:eastAsia="lt-LT"/>
      </w:rPr>
      <w:t>2</w:t>
    </w:r>
  </w:p>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val="en-US" w:eastAsia="lt-LT"/>
      </w:rPr>
      <w:t>2</w:t>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11</w:t>
    </w:r>
    <w:r>
      <w:rPr>
        <w:szCs w:val="24"/>
        <w:lang w:eastAsia="lt-LT"/>
      </w:rPr>
      <w:fldChar w:fldCharType="end"/>
    </w:r>
  </w:p>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t>2</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t>2</w:t>
    </w:r>
  </w:p>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680"/>
        <w:tab w:val="right" w:pos="9360"/>
      </w:tabs>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Cs w:val="22"/>
        <w:lang w:eastAsia="lt-LT"/>
      </w:rPr>
      <w:t>2</w:t>
    </w:r>
  </w:p>
  <w:p>
    <w:pPr>
      <w:tabs>
        <w:tab w:val="center" w:pos="4680"/>
        <w:tab w:val="right" w:pos="9360"/>
      </w:tabs>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activeWritingStyle w:appName="MSWord" w:lang="fr-FR"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284"/>
  <w:hyphenationZone w:val="396"/>
  <w:doNotHyphenateCaps/>
  <w:drawingGridHorizontalSpacing w:val="24"/>
  <w:displayHorizontalDrawingGridEvery w:val="2"/>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68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3249"/>
    <o:shapelayout v:ext="edit">
      <o:idmap v:ext="edit" data="1"/>
    </o:shapelayout>
  </w:shapeDefaults>
  <w:decimalSymbol w:val=","/>
  <w:listSeparator w:val=";"/>
  <w15:docId w15:val="{644C5778-44C1-47FA-B8D0-439703E2B0B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318409">
      <w:bodyDiv w:val="1"/>
      <w:marLeft w:val="0"/>
      <w:marRight w:val="0"/>
      <w:marTop w:val="0"/>
      <w:marBottom w:val="0"/>
      <w:divBdr>
        <w:top w:val="none" w:sz="0" w:space="0" w:color="auto"/>
        <w:left w:val="none" w:sz="0" w:space="0" w:color="auto"/>
        <w:bottom w:val="none" w:sz="0" w:space="0" w:color="auto"/>
        <w:right w:val="none" w:sz="0" w:space="0" w:color="auto"/>
      </w:divBdr>
    </w:div>
    <w:div w:id="253713098">
      <w:bodyDiv w:val="1"/>
      <w:marLeft w:val="0"/>
      <w:marRight w:val="0"/>
      <w:marTop w:val="0"/>
      <w:marBottom w:val="0"/>
      <w:divBdr>
        <w:top w:val="none" w:sz="0" w:space="0" w:color="auto"/>
        <w:left w:val="none" w:sz="0" w:space="0" w:color="auto"/>
        <w:bottom w:val="none" w:sz="0" w:space="0" w:color="auto"/>
        <w:right w:val="none" w:sz="0" w:space="0" w:color="auto"/>
      </w:divBdr>
    </w:div>
    <w:div w:id="259874260">
      <w:bodyDiv w:val="1"/>
      <w:marLeft w:val="0"/>
      <w:marRight w:val="0"/>
      <w:marTop w:val="0"/>
      <w:marBottom w:val="0"/>
      <w:divBdr>
        <w:top w:val="none" w:sz="0" w:space="0" w:color="auto"/>
        <w:left w:val="none" w:sz="0" w:space="0" w:color="auto"/>
        <w:bottom w:val="none" w:sz="0" w:space="0" w:color="auto"/>
        <w:right w:val="none" w:sz="0" w:space="0" w:color="auto"/>
      </w:divBdr>
    </w:div>
    <w:div w:id="396246122">
      <w:bodyDiv w:val="1"/>
      <w:marLeft w:val="0"/>
      <w:marRight w:val="0"/>
      <w:marTop w:val="0"/>
      <w:marBottom w:val="0"/>
      <w:divBdr>
        <w:top w:val="none" w:sz="0" w:space="0" w:color="auto"/>
        <w:left w:val="none" w:sz="0" w:space="0" w:color="auto"/>
        <w:bottom w:val="none" w:sz="0" w:space="0" w:color="auto"/>
        <w:right w:val="none" w:sz="0" w:space="0" w:color="auto"/>
      </w:divBdr>
    </w:div>
    <w:div w:id="425469642">
      <w:bodyDiv w:val="1"/>
      <w:marLeft w:val="0"/>
      <w:marRight w:val="0"/>
      <w:marTop w:val="0"/>
      <w:marBottom w:val="0"/>
      <w:divBdr>
        <w:top w:val="none" w:sz="0" w:space="0" w:color="auto"/>
        <w:left w:val="none" w:sz="0" w:space="0" w:color="auto"/>
        <w:bottom w:val="none" w:sz="0" w:space="0" w:color="auto"/>
        <w:right w:val="none" w:sz="0" w:space="0" w:color="auto"/>
      </w:divBdr>
    </w:div>
    <w:div w:id="480972796">
      <w:bodyDiv w:val="1"/>
      <w:marLeft w:val="0"/>
      <w:marRight w:val="0"/>
      <w:marTop w:val="0"/>
      <w:marBottom w:val="0"/>
      <w:divBdr>
        <w:top w:val="none" w:sz="0" w:space="0" w:color="auto"/>
        <w:left w:val="none" w:sz="0" w:space="0" w:color="auto"/>
        <w:bottom w:val="none" w:sz="0" w:space="0" w:color="auto"/>
        <w:right w:val="none" w:sz="0" w:space="0" w:color="auto"/>
      </w:divBdr>
    </w:div>
    <w:div w:id="506558861">
      <w:bodyDiv w:val="1"/>
      <w:marLeft w:val="0"/>
      <w:marRight w:val="0"/>
      <w:marTop w:val="0"/>
      <w:marBottom w:val="0"/>
      <w:divBdr>
        <w:top w:val="none" w:sz="0" w:space="0" w:color="auto"/>
        <w:left w:val="none" w:sz="0" w:space="0" w:color="auto"/>
        <w:bottom w:val="none" w:sz="0" w:space="0" w:color="auto"/>
        <w:right w:val="none" w:sz="0" w:space="0" w:color="auto"/>
      </w:divBdr>
    </w:div>
    <w:div w:id="595867056">
      <w:bodyDiv w:val="1"/>
      <w:marLeft w:val="0"/>
      <w:marRight w:val="0"/>
      <w:marTop w:val="0"/>
      <w:marBottom w:val="0"/>
      <w:divBdr>
        <w:top w:val="none" w:sz="0" w:space="0" w:color="auto"/>
        <w:left w:val="none" w:sz="0" w:space="0" w:color="auto"/>
        <w:bottom w:val="none" w:sz="0" w:space="0" w:color="auto"/>
        <w:right w:val="none" w:sz="0" w:space="0" w:color="auto"/>
      </w:divBdr>
    </w:div>
    <w:div w:id="775294571">
      <w:bodyDiv w:val="1"/>
      <w:marLeft w:val="0"/>
      <w:marRight w:val="0"/>
      <w:marTop w:val="0"/>
      <w:marBottom w:val="0"/>
      <w:divBdr>
        <w:top w:val="none" w:sz="0" w:space="0" w:color="auto"/>
        <w:left w:val="none" w:sz="0" w:space="0" w:color="auto"/>
        <w:bottom w:val="none" w:sz="0" w:space="0" w:color="auto"/>
        <w:right w:val="none" w:sz="0" w:space="0" w:color="auto"/>
      </w:divBdr>
    </w:div>
    <w:div w:id="809443883">
      <w:bodyDiv w:val="1"/>
      <w:marLeft w:val="0"/>
      <w:marRight w:val="0"/>
      <w:marTop w:val="0"/>
      <w:marBottom w:val="0"/>
      <w:divBdr>
        <w:top w:val="none" w:sz="0" w:space="0" w:color="auto"/>
        <w:left w:val="none" w:sz="0" w:space="0" w:color="auto"/>
        <w:bottom w:val="none" w:sz="0" w:space="0" w:color="auto"/>
        <w:right w:val="none" w:sz="0" w:space="0" w:color="auto"/>
      </w:divBdr>
    </w:div>
    <w:div w:id="863253797">
      <w:bodyDiv w:val="1"/>
      <w:marLeft w:val="0"/>
      <w:marRight w:val="0"/>
      <w:marTop w:val="0"/>
      <w:marBottom w:val="0"/>
      <w:divBdr>
        <w:top w:val="none" w:sz="0" w:space="0" w:color="auto"/>
        <w:left w:val="none" w:sz="0" w:space="0" w:color="auto"/>
        <w:bottom w:val="none" w:sz="0" w:space="0" w:color="auto"/>
        <w:right w:val="none" w:sz="0" w:space="0" w:color="auto"/>
      </w:divBdr>
    </w:div>
    <w:div w:id="913273120">
      <w:bodyDiv w:val="1"/>
      <w:marLeft w:val="0"/>
      <w:marRight w:val="0"/>
      <w:marTop w:val="0"/>
      <w:marBottom w:val="0"/>
      <w:divBdr>
        <w:top w:val="none" w:sz="0" w:space="0" w:color="auto"/>
        <w:left w:val="none" w:sz="0" w:space="0" w:color="auto"/>
        <w:bottom w:val="none" w:sz="0" w:space="0" w:color="auto"/>
        <w:right w:val="none" w:sz="0" w:space="0" w:color="auto"/>
      </w:divBdr>
    </w:div>
    <w:div w:id="958757208">
      <w:bodyDiv w:val="1"/>
      <w:marLeft w:val="0"/>
      <w:marRight w:val="0"/>
      <w:marTop w:val="0"/>
      <w:marBottom w:val="0"/>
      <w:divBdr>
        <w:top w:val="none" w:sz="0" w:space="0" w:color="auto"/>
        <w:left w:val="none" w:sz="0" w:space="0" w:color="auto"/>
        <w:bottom w:val="none" w:sz="0" w:space="0" w:color="auto"/>
        <w:right w:val="none" w:sz="0" w:space="0" w:color="auto"/>
      </w:divBdr>
    </w:div>
    <w:div w:id="976182583">
      <w:bodyDiv w:val="1"/>
      <w:marLeft w:val="0"/>
      <w:marRight w:val="0"/>
      <w:marTop w:val="0"/>
      <w:marBottom w:val="0"/>
      <w:divBdr>
        <w:top w:val="none" w:sz="0" w:space="0" w:color="auto"/>
        <w:left w:val="none" w:sz="0" w:space="0" w:color="auto"/>
        <w:bottom w:val="none" w:sz="0" w:space="0" w:color="auto"/>
        <w:right w:val="none" w:sz="0" w:space="0" w:color="auto"/>
      </w:divBdr>
    </w:div>
    <w:div w:id="1064109580">
      <w:bodyDiv w:val="1"/>
      <w:marLeft w:val="0"/>
      <w:marRight w:val="0"/>
      <w:marTop w:val="0"/>
      <w:marBottom w:val="0"/>
      <w:divBdr>
        <w:top w:val="none" w:sz="0" w:space="0" w:color="auto"/>
        <w:left w:val="none" w:sz="0" w:space="0" w:color="auto"/>
        <w:bottom w:val="none" w:sz="0" w:space="0" w:color="auto"/>
        <w:right w:val="none" w:sz="0" w:space="0" w:color="auto"/>
      </w:divBdr>
    </w:div>
    <w:div w:id="1081413730">
      <w:bodyDiv w:val="1"/>
      <w:marLeft w:val="0"/>
      <w:marRight w:val="0"/>
      <w:marTop w:val="0"/>
      <w:marBottom w:val="0"/>
      <w:divBdr>
        <w:top w:val="none" w:sz="0" w:space="0" w:color="auto"/>
        <w:left w:val="none" w:sz="0" w:space="0" w:color="auto"/>
        <w:bottom w:val="none" w:sz="0" w:space="0" w:color="auto"/>
        <w:right w:val="none" w:sz="0" w:space="0" w:color="auto"/>
      </w:divBdr>
    </w:div>
    <w:div w:id="1143695266">
      <w:bodyDiv w:val="1"/>
      <w:marLeft w:val="0"/>
      <w:marRight w:val="0"/>
      <w:marTop w:val="0"/>
      <w:marBottom w:val="0"/>
      <w:divBdr>
        <w:top w:val="none" w:sz="0" w:space="0" w:color="auto"/>
        <w:left w:val="none" w:sz="0" w:space="0" w:color="auto"/>
        <w:bottom w:val="none" w:sz="0" w:space="0" w:color="auto"/>
        <w:right w:val="none" w:sz="0" w:space="0" w:color="auto"/>
      </w:divBdr>
      <w:divsChild>
        <w:div w:id="427433120">
          <w:marLeft w:val="0"/>
          <w:marRight w:val="0"/>
          <w:marTop w:val="0"/>
          <w:marBottom w:val="0"/>
          <w:divBdr>
            <w:top w:val="none" w:sz="0" w:space="0" w:color="auto"/>
            <w:left w:val="none" w:sz="0" w:space="0" w:color="auto"/>
            <w:bottom w:val="none" w:sz="0" w:space="0" w:color="auto"/>
            <w:right w:val="none" w:sz="0" w:space="0" w:color="auto"/>
          </w:divBdr>
        </w:div>
      </w:divsChild>
    </w:div>
    <w:div w:id="1221475577">
      <w:bodyDiv w:val="1"/>
      <w:marLeft w:val="0"/>
      <w:marRight w:val="0"/>
      <w:marTop w:val="0"/>
      <w:marBottom w:val="0"/>
      <w:divBdr>
        <w:top w:val="none" w:sz="0" w:space="0" w:color="auto"/>
        <w:left w:val="none" w:sz="0" w:space="0" w:color="auto"/>
        <w:bottom w:val="none" w:sz="0" w:space="0" w:color="auto"/>
        <w:right w:val="none" w:sz="0" w:space="0" w:color="auto"/>
      </w:divBdr>
    </w:div>
    <w:div w:id="1352145930">
      <w:bodyDiv w:val="1"/>
      <w:marLeft w:val="0"/>
      <w:marRight w:val="0"/>
      <w:marTop w:val="0"/>
      <w:marBottom w:val="0"/>
      <w:divBdr>
        <w:top w:val="none" w:sz="0" w:space="0" w:color="auto"/>
        <w:left w:val="none" w:sz="0" w:space="0" w:color="auto"/>
        <w:bottom w:val="none" w:sz="0" w:space="0" w:color="auto"/>
        <w:right w:val="none" w:sz="0" w:space="0" w:color="auto"/>
      </w:divBdr>
    </w:div>
    <w:div w:id="1383939465">
      <w:bodyDiv w:val="1"/>
      <w:marLeft w:val="0"/>
      <w:marRight w:val="0"/>
      <w:marTop w:val="0"/>
      <w:marBottom w:val="0"/>
      <w:divBdr>
        <w:top w:val="none" w:sz="0" w:space="0" w:color="auto"/>
        <w:left w:val="none" w:sz="0" w:space="0" w:color="auto"/>
        <w:bottom w:val="none" w:sz="0" w:space="0" w:color="auto"/>
        <w:right w:val="none" w:sz="0" w:space="0" w:color="auto"/>
      </w:divBdr>
    </w:div>
    <w:div w:id="1469592512">
      <w:bodyDiv w:val="1"/>
      <w:marLeft w:val="0"/>
      <w:marRight w:val="0"/>
      <w:marTop w:val="0"/>
      <w:marBottom w:val="0"/>
      <w:divBdr>
        <w:top w:val="none" w:sz="0" w:space="0" w:color="auto"/>
        <w:left w:val="none" w:sz="0" w:space="0" w:color="auto"/>
        <w:bottom w:val="none" w:sz="0" w:space="0" w:color="auto"/>
        <w:right w:val="none" w:sz="0" w:space="0" w:color="auto"/>
      </w:divBdr>
    </w:div>
    <w:div w:id="1626153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2.xml"/>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6.xml"/>
  <Relationship Id="rId19" Type="http://schemas.openxmlformats.org/officeDocument/2006/relationships/footer" Target="footer3.xml"/>
  <Relationship Id="rId2" Type="http://schemas.openxmlformats.org/officeDocument/2006/relationships/endnotes" Target="endnotes.xml"/>
  <Relationship Id="rId20" Type="http://schemas.openxmlformats.org/officeDocument/2006/relationships/header" Target="header19.xml"/>
  <Relationship Id="rId21" Type="http://schemas.openxmlformats.org/officeDocument/2006/relationships/header" Target="header20.xml"/>
  <Relationship Id="rId22" Type="http://schemas.openxmlformats.org/officeDocument/2006/relationships/header" Target="header23.xml"/>
  <Relationship Id="rId23" Type="http://schemas.openxmlformats.org/officeDocument/2006/relationships/header" Target="header24.xml"/>
  <Relationship Id="rId24" Type="http://schemas.openxmlformats.org/officeDocument/2006/relationships/footer" Target="footer9.xml"/>
  <Relationship Id="rId25" Type="http://schemas.openxmlformats.org/officeDocument/2006/relationships/header" Target="header25.xml"/>
  <Relationship Id="rId26" Type="http://schemas.openxmlformats.org/officeDocument/2006/relationships/image" Target="media/image2.png"/>
  <Relationship Id="rId27" Type="http://schemas.openxmlformats.org/officeDocument/2006/relationships/header" Target="header29.xml"/>
  <Relationship Id="rId28" Type="http://schemas.openxmlformats.org/officeDocument/2006/relationships/header" Target="header30.xml"/>
  <Relationship Id="rId29" Type="http://schemas.openxmlformats.org/officeDocument/2006/relationships/image" Target="media/image4.png"/>
  <Relationship Id="rId3" Type="http://schemas.openxmlformats.org/officeDocument/2006/relationships/fontTable" Target="fontTable.xml"/>
  <Relationship Id="rId30" Type="http://schemas.openxmlformats.org/officeDocument/2006/relationships/header" Target="header31.xml"/>
  <Relationship Id="rId31" Type="http://schemas.openxmlformats.org/officeDocument/2006/relationships/header" Target="header32.xml"/>
  <Relationship Id="rId32" Type="http://schemas.openxmlformats.org/officeDocument/2006/relationships/image" Target="media/image6.png"/>
  <Relationship Id="rId33" Type="http://schemas.openxmlformats.org/officeDocument/2006/relationships/header" Target="header33.xml"/>
  <Relationship Id="rId34" Type="http://schemas.openxmlformats.org/officeDocument/2006/relationships/header" Target="header34.xml"/>
  <Relationship Id="rId35" Type="http://schemas.openxmlformats.org/officeDocument/2006/relationships/image" Target="media/image8.png"/>
  <Relationship Id="rId36" Type="http://schemas.openxmlformats.org/officeDocument/2006/relationships/image" Target="media/image9.png"/>
  <Relationship Id="rId37" Type="http://schemas.openxmlformats.org/officeDocument/2006/relationships/customXml" Target="../customXml/item1.xml"/>
  <Relationship Id="rId4" Type="http://schemas.openxmlformats.org/officeDocument/2006/relationships/footer" Target="footer4.xml"/>
  <Relationship Id="rId5" Type="http://schemas.openxmlformats.org/officeDocument/2006/relationships/footnotes" Target="footnotes.xml"/>
  <Relationship Id="rId6" Type="http://schemas.openxmlformats.org/officeDocument/2006/relationships/header" Target="header7.xml"/>
  <Relationship Id="rId7" Type="http://schemas.openxmlformats.org/officeDocument/2006/relationships/header" Target="header8.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2AC70D40-7FCF-48E6-B161-2B15ED70C35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LT">
    <w:altName w:val="Arial"/>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rebuchet MS">
    <w:altName w:val="Trebuchet MS"/>
    <w:panose1 w:val="020B0603020202020204"/>
    <w:charset w:val="BA"/>
    <w:family w:val="swiss"/>
    <w:pitch w:val="variable"/>
    <w:sig w:usb0="000006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17C"/>
    <w:rsid w:val="006A41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A417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Pasirinktinis 4">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c400820cd074d65a4397f568cd2b056" PartId="f0e74c53dfc94ce7bc770495a4b6003f">
    <Part Type="preambule" DocPartId="905f2f5d45f44e49b8868bbf9dd4a8f4" PartId="5030e7c96e2b4234a18f9659a844b9a1"/>
    <Part Type="punktas" Nr="1" Abbr="1 p." DocPartId="f9d7ff1ff949414aba576792cc9b4601" PartId="5040a086e4904dbba4cdbb7abceb2765">
      <Part Type="papunktis" Nr="1.1" Abbr="1.1 pp." DocPartId="87da59f074a74a4d99c7fe99825e831e" PartId="b2dd81c908114e5ead30c27050e7c77b"/>
      <Part Type="papunktis" Nr="1.2" Abbr="1.2 pp." DocPartId="48d3441a9d614f46a9bd365de2b6e27a" PartId="51cac63090f14e5d8d2fada7648d03dd"/>
      <Part Type="papunktis" Nr="1.3" Abbr="1.3 pp." DocPartId="e917dfc62fe24af494b6fd660e8803ce" PartId="e388595a71cf443992b0968bedb14020"/>
      <Part Type="papunktis" Nr="1.4" Abbr="1.4 pp." DocPartId="2841bafe9caa4495b7fe1ec2ee9cb401" PartId="d99fe1827aa545c297ed60d7ef9a3025"/>
      <Part Type="papunktis" Nr="1.5" Abbr="1.5 pp." DocPartId="a63899c3d5004feabac30ff28845a74f" PartId="418dd47ab6a94244abb439248f8041e4"/>
      <Part Type="papunktis" Nr="1.6" Abbr="1.6 pp." DocPartId="3e210e3d26e14139b2a9a8d4a7c78a45" PartId="83715c66ac404a239d40ce77c5f2976c"/>
      <Part Type="papunktis" Nr="1.7" Abbr="1.7 pp." DocPartId="5c2776b3ed524afd822170cc35ca0040" PartId="625ca859c75b478c995e737b75b1a05c"/>
    </Part>
    <Part Type="punktas" Nr="2" Abbr="2 p." DocPartId="d1e03a3ee63f4626ab58086be6e40860" PartId="91a4faf1dda4450280bf683476d7126a">
      <Part Type="papunktis" Nr="2.1" Abbr="2.1 pp." DocPartId="c073cd88794d4f6f8fbfa91fd2449013" PartId="7f592c0a19c44908a3e3f4eec4da8757"/>
      <Part Type="papunktis" Nr="2.2" Abbr="2.2 pp." DocPartId="44fc3faa00404da2b22ec46bd3970b9e" PartId="10d0da0f617440dd80ecce4a50d8f0fa"/>
      <Part Type="papunktis" Nr="2.3" Abbr="2.3 pp." DocPartId="74778e717869478b971fd30ebcc605f4" PartId="a0efcbcc3e6642658170b09a5f570350"/>
      <Part Type="papunktis" Nr="2.4" Abbr="2.4 pp." DocPartId="4daebeaa8b054dbdb951f694d0cdc557" PartId="57fe8947ea90456e971c43eaa1458a9b"/>
    </Part>
    <Part Type="punktas" Nr="3" Abbr="3 p." DocPartId="3056bce2ef4c481da4d4d93865b19c9e" PartId="20b61301d9a24bb8ac9c5d22779eb6ab"/>
    <Part Type="signatura" DocPartId="3d3682d7c76044878538a8a562162abb" PartId="1d1e9587c7c5448c82e0b1ed70141247"/>
  </Part>
  <Part Type="patvirtinta" Title="MOKESTINĖS NEPRIEMOKOS AR BAUDOS UŽ ADMINISTRACINĮ NUSIŽENGIMĄ MOKĖJIMO ATIDĖJIMO IR (AR) IŠDĖSTYMO TAISYKLĖS" DocPartId="8db96a1394fb44bf844c5114f5870490" PartId="5353cb1daad6406abff515fb23a55f53">
    <Part Type="skyrius" Nr="1" Title="BENDROSIOS NUOSTATOS" DocPartId="d32c42039dde4ad4a4f0f6a74193f6f3" PartId="236fa05b123340e7bfc73c81a7d0c7f6">
      <Part Type="punktas" Nr="1" Abbr="1 p." DocPartId="32d9bfaa40e447749ea261b02fda5036" PartId="8432ef8013c747439e8661af232bc81b"/>
      <Part Type="punktas" Nr="2" Abbr="2 p." DocPartId="ad3e416e9cf04d268f3196cb9dead069" PartId="7b3927380f244b678f39be4c4e17c234"/>
      <Part Type="punktas" Nr="3" Abbr="3 p." DocPartId="f9ce3c406b4a4098893cccb791177d66" PartId="6332ef98f46649c1a9fd0a8c13ca4f3e">
        <Part Type="papunktis" Nr="3.1" Abbr="3.1 pp." DocPartId="4f1fbfee3abc41f99ad4bb4f0f1294ac" PartId="4d59fb65aec14de08d9b670035c34ee7"/>
        <Part Type="papunktis" Nr="3.2" Abbr="3.2 pp." DocPartId="b3ebb95ac1154994b5c4b69225e5e978" PartId="866a5d6f963042d897971b2a1f84aec7"/>
        <Part Type="papunktis" Nr="3.3" Abbr="3.3 pp." DocPartId="44046989507948388715f6854983bfcb" PartId="156f2817c2c948df9dfbd560265790fe"/>
        <Part Type="papunktis" Nr="3.4" Abbr="3.4 pp." DocPartId="94fea58c20c24a2fa528a0d8e06c6111" PartId="c003dd27bfa84f8db44c34f3b9a39206"/>
        <Part Type="papunktis" Nr="3.5" Abbr="3.5 pp." DocPartId="19950af2329b4c77baae12ad591ba55f" PartId="e235f2241dbf46c788578b3a578ad12f"/>
        <Part Type="papunktis" Nr="3.6" Abbr="3.6 pp." DocPartId="7e036e3ee0b84a75b643fab65751914f" PartId="9247a2af7bd74a30a5ef5d620d48a69f"/>
        <Part Type="papunktis" Nr="3.7" Abbr="3.7 pp." DocPartId="0a21aa052d634b34b4e1d7880a1d6568" PartId="8f84aaaea9674a6993126061741a70e1"/>
        <Part Type="papunktis" Nr="3.8" Abbr="3.8 pp." DocPartId="ce49fafc596d474c94ac7e8551de9ef9" PartId="9034572ceaeb43fabcf79eae20b8c9be"/>
      </Part>
      <Part Type="punktas" Nr="4" Abbr="4 p." DocPartId="a846269b33b14d599ce12955ae2ec3f7" PartId="b2b7e79d252140eb885b62346833f267"/>
      <Part Type="punktas" Nr="5" Abbr="5 p." DocPartId="26d6b14eaabb4b2c8c126e2fd46f7f40" PartId="da14c8de785d4e2995b32849d4f7d932"/>
      <Part Type="punktas" Nr="6" Abbr="6 p." DocPartId="3380f56166a54802bf68eb1e982a8f8f" PartId="4dec292dd6b547e79469b78a5a30f6fc"/>
      <Part Type="punktas" Nr="7" Abbr="7 p." DocPartId="004becf9c6264dc184735f9dfde322c1" PartId="c0deb24b3f4a425d850358485efff126"/>
      <Part Type="punktas" Nr="8" Abbr="8 p." DocPartId="ee7078f1ab824a009e5b27cecc27eb86" PartId="d2c5c861863a4c8ab8ffc289a334393a"/>
      <Part Type="punktas" Nr="9" Abbr="9 p." DocPartId="3c995db4fdf54e92a324867ab511fd8e" PartId="672e70c77cb9469598c84e5efd297a8c"/>
      <Part Type="punktas" Nr="10" Abbr="10 p." DocPartId="a87b7da4ebfd45f38933e3d037185ad6" PartId="ff95140c73a04de9a7c2955eabd72f9e"/>
      <Part Type="punktas" Nr="11" Abbr="11 p." DocPartId="b51c859032c44a068c86f194b641ac48" PartId="0db163d50c08486aab5895bfe13aa55c"/>
      <Part Type="punktas" Nr="12" Abbr="12 p." DocPartId="b9fa06b71c814f38a66a5b6852d51271" PartId="e062b8572e33457ab2fafb2a18bc356d"/>
      <Part Type="punktas" Nr="13" Abbr="13 p." DocPartId="52514426c9cb486189d25976bf06dc29" PartId="6d76545e6f9a48b9a82a7da8b90dbf3d"/>
      <Part Type="punktas" Nr="14" Abbr="14 p." DocPartId="06285c96341d4caeb7e7e444323a950c" PartId="ee2301e16f34407ab55f931cf3af3762"/>
      <Part Type="punktas" Nr="15" Abbr="15 p." DocPartId="4b4784c0c2934850b96983a98fb65a84" PartId="ef84fd46e7c54902a4dc89fd7a02ea94"/>
    </Part>
    <Part Type="skyrius" Nr="2" Title="PRAŠYMO PATEIKIMO TVARKA" DocPartId="0aa7eb241ae54a3cbb2e675e4a8bd6c7" PartId="bd137fac4b614d6b819abc7efc8796e1">
      <Part Type="punktas" Nr="16" Abbr="16 p." DocPartId="50c7eda072624960bdf8ee91653f1e82" PartId="3cdb1224bd1b4bce89e375f922100d00"/>
      <Part Type="punktas" Nr="17" Abbr="17 p." DocPartId="0faa03f5c6374874bd26661f709538c4" PartId="cc80caca9ea74c028daf25ed365509bc">
        <Part Type="papunktis" Nr="17.1" Abbr="17.1 pp." DocPartId="3922b40d2b094f32a63fc5f3fe9951ea" PartId="00fff73996b24a1c9ceb63123639b6b8"/>
        <Part Type="papunktis" Nr="17.2" Abbr="17.2 pp." DocPartId="a3b9b86e8e8247bfa4ea9569a7133495" PartId="7423c5c580a64f99af6d5785b573dafd"/>
        <Part Type="papunktis" Nr="17.3" Abbr="17.3 pp." DocPartId="1f060ee24666498fa7d2a70af54fa6f7" PartId="a50e3e30f2b84afebf354a7d9a87ee3b"/>
        <Part Type="papunktis" Nr="17.4" Abbr="17.4 pp." DocPartId="3f52edab2e824c999e94e573e8ddeeaf" PartId="c8dbd89545bd4889a8cfd27a129b6033"/>
        <Part Type="papunktis" Nr="17.5" Abbr="17.5 pp." DocPartId="b36d94bc2934491b8d9f22394c4c4ebd" PartId="e4b3950df44b4b0696fe99f567c1f055"/>
      </Part>
      <Part Type="punktas" Nr="18" Abbr="18 p." DocPartId="ab4933679021474ab26c0e620a41d56d" PartId="dc4fbc05bcf44d67bd9457167c943aa6">
        <Part Type="papunktis" Nr="18.1" Abbr="18.1 pp." DocPartId="c3911ccbb9b242db91458c29bb8fcfe7" PartId="b850a0517e5049d29ff22b03805a353e"/>
        <Part Type="papunktis" Nr="18.2" Abbr="18.2 pp." DocPartId="a98bf400f72241829e3515ce8ae49e93" PartId="607dadd250084c8383049405bebecc67"/>
        <Part Type="papunktis" Nr="18.3" Abbr="18.3 pp." DocPartId="09b31575919b4e25a14fd91fdffd078b" PartId="5799f2f02e834de3b5aed79e8245bb5b"/>
        <Part Type="papunktis" Nr="18.4" Abbr="18.4 pp." DocPartId="7bdfb349e876456ebde20b7a8fd9af70" PartId="6994fde7ee684da4a990a895384b7956"/>
        <Part Type="papunktis" Nr="18.5" Abbr="18.5 pp." DocPartId="0a129e56900a46f3b0ec60391720ba54" PartId="b2ef00b9c6e94aedb670b5a8d4ec697d"/>
        <Part Type="papunktis" Nr="18.6" Abbr="18.6 pp." DocPartId="81569fb2503c45da973aa1a9e5780f7d" PartId="5bf94148fd744db692822d50aa2d4c9c"/>
        <Part Type="papunktis" Nr="18.7" Abbr="18.7 pp." DocPartId="1ac67ff09ecb4ee79009d90825075c87" PartId="e32911dbe8ac421d9ed8477f8dd5a352"/>
      </Part>
      <Part Type="punktas" Nr="19" Abbr="19 p." DocPartId="69cbe0daa04646119f6a3a4104ad788a" PartId="fb597720b9c6427988780e104b8baa32">
        <Part Type="papunktis" Nr="19.1" Abbr="19.1 pp." DocPartId="6b5614f2bb64415889d41dc68b076ff1" PartId="68db9ca326a8471c8b0a72ad7d608db4">
          <Part Type="papunktis" Nr="19.1.1" Abbr="19.1.1 pp." DocPartId="075221d4cbbf401d9141d2937d7c0c5c" PartId="7dfc088cc75c4f448a77bd8bf7c32e36"/>
          <Part Type="papunktis" Nr="19.1.2" Abbr="19.1.2 pp." DocPartId="297fa3e906af44cf9bcfd1aa94cf3c3e" PartId="4120da0f2100475c91585b4035bb29d0"/>
          <Part Type="papunktis" Nr="19.1.3" Abbr="19.1.3 pp." DocPartId="c9ea5102f67d4ba9a2ca29a73b2af0d8" PartId="1d8d8b2950d349cd9305006921e8c8b1"/>
          <Part Type="papunktis" Nr="19.1.4" Abbr="19.1.4 pp." DocPartId="48ff07893a984a1384505b0ffa873d10" PartId="925aa948079843f39f18d156536c5797"/>
          <Part Type="papunktis" Nr="19.1.5" Abbr="19.1.5 pp." DocPartId="3fb85a9cebff413ca9e75180ad0a69f6" PartId="f8ceaf930e424878a280956ebd472a34"/>
          <Part Type="papunktis" Nr="19.1.6" Abbr="19.1.6 pp." DocPartId="521d583ba3b944e0ba64455ff3bc6951" PartId="08e2269c23fc4427bc495364b0329d64"/>
          <Part Type="papunktis" Nr="19.1.7" Abbr="19.1.7 pp." DocPartId="7526f20663e1416ca3dade2734d91412" PartId="4345e95ec0d6480eb3285559e523fbe9"/>
          <Part Type="papunktis" Nr="19.1.8" Abbr="19.1.8 pp." DocPartId="ccee8b224e58400fa09db0dfa998f82f" PartId="7cc842ae45a041a7afa175bfbcbf9414"/>
          <Part Type="papunktis" Nr="19.1.9" Abbr="19.1.9 pp." DocPartId="f2aa81c0e0c64bef82938a9bc80e29f1" PartId="d6d3a9484a9c4e3094e85a2553fc7262"/>
          <Part Type="papunktis" Nr="19.1.10" Abbr="19.1.10 pp." DocPartId="5cc4620cf97343d5af6f22562744b0f6" PartId="9e44fdbb9871486a9692f36f0d38accc">
            <Part Type="papunktis" Nr="19.1.10.1" Abbr="19.1.10.1 pp." DocPartId="b3a385b8fe6e477985c57285a4df1091" PartId="5ad32fb9655649c49f2cc984843c5df6"/>
            <Part Type="papunktis" Nr="19.1.10.2" Abbr="19.1.10.2 pp." DocPartId="724e2a675e2541b4a0166b88c5b749dd" PartId="b0ff42f67a3c4627a339da01b86f9133"/>
            <Part Type="papunktis" Nr="19.1.10.3" Abbr="19.1.10.3 pp." DocPartId="247d117b26574f5eb3bf3b902b0952fc" PartId="21eb71e16d454a2c9b42720d9616fa38"/>
          </Part>
          <Part Type="papunktis" Nr="19.1.11" Abbr="19.1.11 pp." DocPartId="e30850c2ddb744afb64258d85355c368" PartId="5646bb9114084e77a739726ad2e6e448"/>
        </Part>
        <Part Type="papunktis" Nr="19.2" Abbr="19.2 pp." DocPartId="ab9fc9f1db074c26ba21574c73a8780f" PartId="1c70524647b64a79893bc05824df98e0">
          <Part Type="papunktis" Nr="19.2.1" Abbr="19.2.1 pp." DocPartId="b73af92eb08f447a995d5e25ee536df1" PartId="681f783994514ee286d8a92e10130978"/>
          <Part Type="papunktis" Nr="19.2.2" Abbr="19.2.2 pp." DocPartId="1c9e584136884fc6a9307e3faad20dec" PartId="92ce1770fda4484b8a6608d00a88028d"/>
          <Part Type="papunktis" Nr="19.2.3" Abbr="19.2.3 pp." DocPartId="30a752ea5feb4b3e86186c8cf9a20891" PartId="60551b8306ec4b1a9ef19cf4b352371b"/>
          <Part Type="papunktis" Nr="19.2.4" Abbr="19.2.4 pp." DocPartId="e4de910fa36544c19cde2d57ece26b5a" PartId="a5b42da2114e44c3b00e0c6d150dc373"/>
          <Part Type="papunktis" Nr="19.2.5" Abbr="19.2.5 pp." DocPartId="e599c5ea19cf48d586141acb99fc6f49" PartId="d9b9a7b62b104f8f8575d0ea52f6e9c9"/>
          <Part Type="papunktis" Nr="19.2.6" Abbr="19.2.6 pp." DocPartId="858cdea24b5040c0ac22004519942a23" PartId="7b7768ce6ff2425cbc6c43169240801b"/>
          <Part Type="papunktis" Nr="19.2.7" Abbr="19.2.7 pp." DocPartId="29091a18454f4c5492f6fa5bb19312a1" PartId="e72c345268a648dab4ddee2f0ae71f0f"/>
          <Part Type="papunktis" Nr="19.2.8" Abbr="19.2.8 pp." DocPartId="3a6960d15782472b920715fd62c1920e" PartId="42c99bc149ff4e7cb38933c6bb18d46c"/>
        </Part>
        <Part Type="papunktis" Nr="19.3" Abbr="19.3 pp." DocPartId="5fbb3c28c99b465e8aa0369c7b65adca" PartId="02a6543da001438eb81b54606c5f1e57">
          <Part Type="papunktis" Nr="19.3.1" Abbr="19.3.1 pp." DocPartId="cf6b9fb280b4403b9aef20b097ad1f3f" PartId="57b922b2188047aaa15e9eff473e5d36"/>
          <Part Type="papunktis" Nr="19.3.2" Abbr="19.3.2 pp." DocPartId="8efc94d5804e4e8f8388558e1f10bab4" PartId="8a06e265cdc0445787c9cdfddc5fecc2"/>
        </Part>
      </Part>
      <Part Type="punktas" Nr="20" Abbr="20 p." DocPartId="e09e101a9ba7458097389c44bc7e043f" PartId="3240d8f66949437b853bc1980b89b5af"/>
      <Part Type="punktas" Nr="21" Abbr="21 p." DocPartId="2f58aad59ba84c439120ca730f66e7d3" PartId="b273e1ff4f9a47e6b05bc1d4a64d3c82">
        <Part Type="papunktis" Nr="21.1" Abbr="21.1 pp." DocPartId="8e045141037a472aa20f83ed559a01ad" PartId="9259552bdcd34ae6a8b858fe0fd7a620">
          <Part Type="papunktis" Nr="21.1.1" Abbr="21.1.1 pp." DocPartId="9929ef7a28ea43b2a07965c667ed92e0" PartId="7c66d07a8d9f44a284ce84eb6518807e"/>
          <Part Type="papunktis" Nr="21.1.2" Abbr="21.1.2 pp." DocPartId="6d7a59ea36754079a187493f24fa7235" PartId="d4b35f5f5aee4b888ed531cc339e84ea"/>
        </Part>
        <Part Type="papunktis" Nr="21.2" Abbr="21.2 pp." DocPartId="da905417821c4b5a84f039abb5a73cf6" PartId="7eff7556f8b3466f9e1756fbc97f16a9">
          <Part Type="papunktis" Nr="21.2.1" Abbr="21.2.1 pp." DocPartId="36de52a9074f474da78bb56b5f45f9fa" PartId="8045f87a5fcd43d4b3921e4ffd0a675f"/>
          <Part Type="papunktis" Nr="21.2.2" Abbr="21.2.2 pp." DocPartId="b4fe685b00114a3799916ed96f531732" PartId="f79136fd544b4e58ad74e8d2833f102c"/>
        </Part>
        <Part Type="papunktis" Nr="21.3" Abbr="21.3 pp." DocPartId="273bf295ae3c490c83560bbefb9d7721" PartId="96bd502e223f4b08bab49fd28672aeb7">
          <Part Type="papunktis" Nr="21.3.1" Abbr="21.3.1 pp." DocPartId="50c71034bdf2489db2d19a08840864d9" PartId="43e6027f060e42209550a80c403fe621"/>
          <Part Type="papunktis" Nr="21.3.2" Abbr="21.3.2 pp." DocPartId="3daf513f6a174a33bf14d6dc6a6b7469" PartId="84e3bfdbec434a4ea1ffef21e4d6afb4"/>
        </Part>
      </Part>
      <Part Type="punktas" Nr="22" Abbr="22 p." DocPartId="802cce91a2524868aedc35d6b6431b0c" PartId="878afdb8f042429684d2718e1be90e36"/>
      <Part Type="punktas" Nr="23" Abbr="23 p." DocPartId="23eff1c21c734ed2979b1db1a9c1a361" PartId="44cce303651c49869fcbdb09a409e41d"/>
      <Part Type="punktas" Nr="24" Abbr="24 p." DocPartId="7c07edb2f2fd443289425657c63b33c6" PartId="66f0486970e54da5a964f97833af3ec3"/>
      <Part Type="punktas" Nr="25" Abbr="25 p." DocPartId="7e730056f8a34f368f33edcdf1cd5b75" PartId="1d299a8565124cca85f6a8fa7e8fa086">
        <Part Type="papunktis" Nr="25.1" Abbr="25.1 pp." DocPartId="183713596c844a538d7d8676b279a33c" PartId="4db5eff7da7b4bb0a74bf9afd0c31aba"/>
        <Part Type="papunktis" Nr="25.2" Abbr="25.2 pp." DocPartId="1505ad4a171342aba6bb384bcf41d5b5" PartId="ea853a4653ae4cbe81acf3f8f8d3f224">
          <Part Type="papunktis" Nr="25.2.1" Abbr="25.2.1 pp." DocPartId="f9a339ef8eaa4dc29c75e54736a9558c" PartId="e03a1257f2af4e829e59aa06937ba667"/>
          <Part Type="papunktis" Nr="25.2.2" Abbr="25.2.2 pp." DocPartId="ece255da65664b2485f391b7f230bba5" PartId="cf740a2430884d76a6c8c9cd522e9397"/>
        </Part>
        <Part Type="papunktis" Nr="25.3" Abbr="25.3 pp." DocPartId="11aebb696345466598500503756aae50" PartId="b39bcfe8fd2146f2806811cd764a54a3"/>
      </Part>
    </Part>
    <Part Type="skyrius" Nr="3" Title="PRAŠYMO NAGRINĖJIMAS" DocPartId="738c9daa8ddd4906883ce69bf7185117" PartId="bcc2b3c8fb5947ad87fa4488b8582e43">
      <Part Type="punktas" Nr="26" Abbr="26 p." DocPartId="c9faa5262ba1452997394452a46683f0" PartId="3090484c1bf64a92872e982dfa14e94f"/>
      <Part Type="punktas" Nr="27" Abbr="27 p." DocPartId="5a27b76e5d244835bee99075de10885b" PartId="57da477aa2ab42a4bdb245f3687277d0"/>
      <Part Type="punktas" Nr="28" Abbr="28 p." DocPartId="47a5acfcfedb4d99bb642c8f65b55cc3" PartId="f75f81252f0b4d97a6cad8b1981805c5"/>
      <Part Type="punktas" Nr="29" Abbr="29 p." DocPartId="179646c013d64d38bc651acfd98402e2" PartId="f34912ba0faf4c31b1e3b0d4127dbaec">
        <Part Type="papunktis" Nr="29.1" Abbr="29.1 pp." DocPartId="36efa2d97c03473a9f73e31b0962fda3" PartId="00fd7bae0aee466eb9fd819f7be25af9"/>
        <Part Type="papunktis" Nr="29.2" Abbr="29.2 pp." DocPartId="66d9e78f2807484a92617bf8d41b7b14" PartId="40b61556ea2c4c478610b3c1e2b69104"/>
      </Part>
      <Part Type="punktas" Nr="30" Abbr="30 p." DocPartId="4875c97e176d4d0aa72a9b3040ced5d9" PartId="e001563962fd4e208bd68711159c7196"/>
      <Part Type="punktas" Nr="31" Abbr="31 p." DocPartId="5d9a605511ea4821847b35bbc4e27862" PartId="bc471ea92588470f9f2169abd2e8abfb"/>
      <Part Type="punktas" Nr="32" Abbr="32 p." DocPartId="2bca5a8b9d0a40d8bcea1c4f0c41bbce" PartId="ec7764b832964b0c82f9ff3176d5e9f1"/>
      <Part Type="punktas" Nr="33" Abbr="33 p." DocPartId="973c3b7c31c847728013254004894cea" PartId="f3a4796d68174fd8a0abcf4a6b9d7a1a">
        <Part Type="papunktis" Nr="33.1" Abbr="33.1 pp." DocPartId="7633ff944a584a94ace374127e2dfd4e" PartId="765ad7c8675c49368272e2da10147e33"/>
        <Part Type="papunktis" Nr="33.2" Abbr="33.2 pp." DocPartId="7cfaf0b61c204fcaacbaad4db29ee071" PartId="b353a8748daf4ca2963305d93bccbac6"/>
      </Part>
      <Part Type="punktas" Nr="34" Abbr="34 p." DocPartId="2089c4e1363e4dfdba063811f96205af" PartId="e7ad2967eab241f99f28318a03f0a515"/>
    </Part>
    <Part Type="skyrius" Nr="4" Title="SPRENDIMO VYKDYMAS" DocPartId="ccf595ab3c3f463080928507b81fb13c" PartId="8c3cb862044c4e518f98849d602d6656">
      <Part Type="punktas" Nr="35" Abbr="35 p." DocPartId="6a5bb11446ff47c5ae619c1fe97cbdd5" PartId="4aee04b7703345ffa7a10fc032c37cc6"/>
      <Part Type="punktas" Nr="36" Abbr="36 p." DocPartId="ffb81e3128184bc98e3b1a00321a3300" PartId="3b527aa0477d457e9b816ac172860893"/>
      <Part Type="punktas" Nr="37" Abbr="37 p." DocPartId="aef1491164254cc984c59b98338a5c95" PartId="5bb1616e2f4f494083e04b47fee63325"/>
      <Part Type="punktas" Nr="38" Abbr="38 p." DocPartId="59daf45319824fa5a81d6be2fcbd4cc6" PartId="405800e53f9c463a9f53e9be47f7ddf8"/>
      <Part Type="punktas" Nr="39" Abbr="39 p." DocPartId="6b2dde5e46544103baecf7899f1c2e68" PartId="5947dc9b158c4cf5ad62f043b02fe084"/>
      <Part Type="punktas" Nr="40" Abbr="40 p." DocPartId="f9c8f0cb83e14f53919bde696a6390c2" PartId="284655404a5547ecbc3590e289bcf0e7"/>
    </Part>
    <Part Type="skyrius" Nr="5" Title="MOKESTINĖS PASKOLOS SUTARTIES SUDARYMO IR VYKDYMO SĄLYGOS" DocPartId="47dd845f99e94fd9a855ba3db33f3546" PartId="c67acf32c57f4752b94a1d58472a2888">
      <Part Type="punktas" Nr="41" Abbr="41 p." DocPartId="267fd880bdae4e549cbc9dec08eaabb7" PartId="847569fee42b44b6b362f18e49cfb37f"/>
      <Part Type="punktas" Nr="42" Abbr="42 p." DocPartId="e5fef4d2044e4a32a80bdfe506730efd" PartId="0ff71b061a5a419ba46b1481dfa056bf"/>
      <Part Type="punktas" Nr="43" Abbr="43 p." DocPartId="ba9bebb7cd9345d699f1c3733578bef5" PartId="0980fb28969a473584276d59f7cf6fed"/>
      <Part Type="punktas" Nr="44" Abbr="44 p." DocPartId="be9f4855645b4d55b388ef1ef03d9f00" PartId="458ddd394f794df79344005bb32fc15e"/>
      <Part Type="punktas" Nr="45" Abbr="45 p." DocPartId="3efb90b7c2304e9ead00eff127c42371" PartId="cd443b2abbd740ac852873bbd7fdca26"/>
      <Part Type="punktas" Nr="46" Abbr="46 p." DocPartId="04fd7de3df0c40bb9cc781d3e0532e98" PartId="947f1af895d3485bb30c811ebfbaab9a"/>
      <Part Type="punktas" Nr="47" Abbr="47 p." DocPartId="00e6eac7e6fd4d83a54f86e5492f0e58" PartId="1a2f4c38af44433098bd9b90e2f4a3ff"/>
      <Part Type="punktas" Nr="48" Abbr="48 p." DocPartId="a8c4c985f29147d49bfeab96ee7756f1" PartId="e3f81c1f0b9e4611bbca84d74766b00f"/>
      <Part Type="punktas" Nr="49" Abbr="49 p." DocPartId="b3c0d69ef8004ab5bf29d145dbeb5998" PartId="1306810eccc34bbe817137d599c71b79"/>
    </Part>
    <Part Type="skyrius" Nr="6" Title="SPRENDIMO PAKEISTI MOKESTINĖS PASKOLOS SUTARTĮ ARBA JĄ NUTRAUKTI PRIĖMIMAS" DocPartId="ed3ddb607aca40c5adeb2ba5a9003bd1" PartId="e008211fd4c54306bec7047c1b4d691c">
      <Part Type="punktas" Nr="50" Abbr="50 p." DocPartId="869a802204194b5fb67b0df4550ffa4e" PartId="2717c45a731d422486a07c4b60294ecb"/>
      <Part Type="punktas" Nr="51" Abbr="51 p." DocPartId="a0be9ce15f4a450880152f08f1095c29" PartId="7c71d3d8d8404c609d4ffdafb46db885"/>
      <Part Type="punktas" Nr="52" Abbr="52 p." DocPartId="d8f827ed743f4fd6a49741e2a5748f8f" PartId="d67b2ab84bb341ab91a67debd0802a92">
        <Part Type="papunktis" Nr="52.1" Abbr="52.1 pp." DocPartId="be00aa08e8374ce098f8b09325c0fc74" PartId="353d218d857642a0842eedc826c62ba0"/>
        <Part Type="papunktis" Nr="52.2" Abbr="52.2 pp." DocPartId="89505552bf02424c852017b2124b1926" PartId="e2c8c01566904210b98570d527ecb3d5"/>
        <Part Type="papunktis" Nr="52.3" Abbr="52.3 pp." DocPartId="49e340580c2d461da5ed165383427d6b" PartId="cfac980dd9b745128c4afefe5338fae0"/>
        <Part Type="papunktis" Nr="52.4" Abbr="52.4 pp." DocPartId="57a51573a07648e6991f363939023423" PartId="ee1f9b03dad849478a7d660e2391996d"/>
        <Part Type="papunktis" Nr="52.5" Abbr="52.5 pp." DocPartId="ed036e0de9d34c7fb4bbbfecc61a9758" PartId="4c1a4abc6ceb430f817fa952de1d4b15"/>
        <Part Type="papunktis" Nr="52.6" Abbr="52.6 pp." DocPartId="a9b7a422e9ec46328ae18fb72c93d958" PartId="40233b3150f94753a46c8bb739aff813"/>
        <Part Type="papunktis" Nr="52.7" Abbr="52.7 pp." DocPartId="60187a74f0064d138f42d4c84017eec2" PartId="4e55f3ef181248aa8d59fbbeb9b17258"/>
        <Part Type="papunktis" Nr="52.8" Abbr="52.8 pp." DocPartId="13066a45c2934202bbd74f51a79bf223" PartId="c67bbf2e7f244f3388c6fd171282b757"/>
        <Part Type="papunktis" Nr="52.9" Abbr="52.9 pp." DocPartId="4d319db3ec424220b9a4bb9530657e22" PartId="e6e8679327884514bd90db076a2266cb"/>
        <Part Type="papunktis" Nr="52.10" Abbr="52.10 pp." DocPartId="9e8c82b284264aada4a95420a84f7edd" PartId="44482689b7844f1ba792d1d5d81fa50c"/>
        <Part Type="papunktis" Nr="52.11" Abbr="52.11 pp." DocPartId="e22a6bd6d25f497fb83a4cbce6fbb2c2" PartId="cb6c150ea0e9415085ee5f3fc50ca9f1"/>
      </Part>
      <Part Type="punktas" Nr="53" Abbr="53 p." DocPartId="772945b897e14dbf8b6efd417337f935" PartId="10e31bf381d04704af3cdae1b672a094"/>
      <Part Type="punktas" Nr="54" Abbr="54 p." DocPartId="72c1607c27b541608e181703e887a4c6" PartId="43ec81c3317e477988d8e64f2740c4d5"/>
      <Part Type="punktas" Nr="55" Abbr="55 p." DocPartId="21efe25ace744a02b13151d984effbbe" PartId="85be50b4f0fd4c7c8a90a6ddc885a240"/>
      <Part Type="punktas" Nr="56" Abbr="56 p." DocPartId="a6bf60f9229345649f755328ceda4cfa" PartId="7e5a8bf0563346f7bde50a5f30a0d63b"/>
      <Part Type="punktas" Nr="57" Abbr="57 p." DocPartId="0a4011cd8b91405e80d8d741c72c0deb" PartId="c30fbddaa831411b80413e2887a41d64"/>
    </Part>
    <Part Type="skyrius" Nr="7" Title="NEREIKŠMINGOS VALSTYBĖS PAGALBOS DE MINIMIS SUTEIKIMAS" DocPartId="7000cc56f68a4a17b42fe349f3e797bc" PartId="f3e99af2201240af9f1ee91b65341c27">
      <Part Type="punktas" Nr="58" Abbr="58 p." DocPartId="f366299f72d144ccb142a0d5887e5980" PartId="1d5c680f25bd442ab0aa241af4860f90"/>
      <Part Type="punktas" Nr="59" Abbr="59 p." DocPartId="33eb7b551e6847e2b591e3c11e52ec94" PartId="19cb918e00bc4088b358827918b6bfe9"/>
      <Part Type="punktas" Nr="60" Abbr="60 p." DocPartId="c4a683c7140b460982d58450e787de66" PartId="c24ce559043d447e8026348c7ac63efe"/>
      <Part Type="punktas" Nr="61" Abbr="61 p." DocPartId="c1a83ae02e6847f5bd4faea91d53f191" PartId="64378a1625b647cd99034e4814c87113"/>
      <Part Type="punktas" Nr="62" Abbr="62 p." DocPartId="f08825ce25394d1cbc4749cdd7b20a00" PartId="26805f1bc1214c64b884798635db5f8a"/>
      <Part Type="punktas" Nr="63" Abbr="63 p." DocPartId="96dd86e6e7b54763b651bdd109b0672f" PartId="e0519fc3e91546328c058d5f0933273d"/>
      <Part Type="punktas" Nr="64" Abbr="64 p." DocPartId="13bff494d2de490aa90e042460d0a5a0" PartId="674f6388dc1b4b87870d1a410062246a"/>
      <Part Type="punktas" Nr="65" Abbr="65 p." DocPartId="5d08eb1e918342bfbf8e19c39287b7fd" PartId="27f8768dd8cb4dd3b7d014726ba9ae80"/>
      <Part Type="punktas" Nr="66" Abbr="66 p." DocPartId="627335aeff784e66a7f2a469d676d9a0" PartId="2a16006b739947f99218282a0da7ff81"/>
      <Part Type="punktas" Nr="67" Abbr="67 p." DocPartId="8620ca8ef11c4ab685bfe71ba4f815e4" PartId="aac02ed7a79940b4b995b1c442492d3f"/>
      <Part Type="punktas" Nr="68" Abbr="68 p." DocPartId="a318beee0d414c318e56fa027148cf26" PartId="3348a2d4c6034add8524d04d493ada07"/>
      <Part Type="punktas" Nr="69" Abbr="69 p." DocPartId="e9ab5af4d61d431a85911c6071dd0b6e" PartId="94b1d5e84d20472a844c9946c9efed76"/>
    </Part>
    <Part Type="skyrius" Nr="8" Title="BAIGIAMOSIOS NUOSTATOS" DocPartId="fa4f9c248eb945b786c9a86daa08b66f" PartId="e5614730ba5c45f7b6ff72a4072d7ac8">
      <Part Type="punktas" Nr="70" Abbr="70 p." DocPartId="9b8b4c0d3bc448c4bb4599e549db054b" PartId="9ed3163dfc1b4095beff25c1f8884b8d"/>
      <Part Type="punktas" Nr="71" Abbr="71 p." DocPartId="dd6ae601c4ee4226967a0f430f95bbd6" PartId="9e89ab0ad93146b99802fd77bad5b429"/>
      <Part Type="punktas" Nr="72" Abbr="72 p." DocPartId="5fbd647a1e0940f4a3333844b56fd88b" PartId="1997ce71686b4762b9641bc2694d4d27"/>
    </Part>
    <Part Type="pabaiga" DocPartId="b07fcb8146414f699c629a4489f41877" PartId="27307d3bd70b46eab876bcc88a6f3345"/>
  </Part>
  <Part Type="priedas" Nr="1" Abbr="1 pr." DocPartId="5bf0766b76504ebeaa1445afcae064b1" PartId="8f081342bf854bdda6d8227152a8ed51">
    <Part Type="pabaiga" DocPartId="67707e6c552e4a56af98cdbca467817a" PartId="41cc0b00b58c400580b71ca2aa181eea"/>
  </Part>
  <Part Type="priedas" Nr="2" Abbr="2 pr." DocPartId="76c2a14009584275a3f5ee2c5b26d487" PartId="3939048da9604e0d83ae8728e2d994f9">
    <Part Type="pabaiga" DocPartId="cf780de7ac2a488abb9230b119bfe6ac" PartId="c5da5f06977a4408914c039282fea6f5"/>
  </Part>
  <Part Type="priedas" Nr="3" Abbr="3 pr." DocPartId="935e35ecee5e44ce9267f142bd5f4249" PartId="38d7c38382cc485fbd2727818d69367c">
    <Part Type="pabaiga" DocPartId="cfdeeea0b2b4415c8ac9f7f9c3d1a670" PartId="16485b7e1b9441e3bcf76c396076ef69"/>
  </Part>
  <Part Type="priedas" Nr="4" Abbr="4 pr." Title="INFORMACIJA APIE GAUTAS PASKOLAS IŠ KREDITO ĮSTAIGŲ, LIZINGO BENDROVIŲ, KITŲ FINANSŲ ĮSTAIGŲ, JURIDINIŲ BEI FIZINIŲ ASMENŲ" DocPartId="b20b5535cd2540a9bd21cf6fa33f4c88" PartId="3d5e1539f77d4939a18ff9e20f183d61">
    <Part Type="pabaiga" DocPartId="20f89b7252b64df7b9b473a59f53fcb0" PartId="bc04b58831df410dbf44704b0de27d9d"/>
  </Part>
  <Part Type="priedas" Nr="5" Abbr="5 pr." DocPartId="ce4b5910b5cd40748ad1326161a99705" PartId="05d9d45f36614757919de61db0d438ee"/>
  <Part Type="patvirtinta" Title="(Mokestinės paskolos sutarties FR0284 forma) MOKESTINĖS PASKOLOS SUTARTIS FR0284" DocPartId="efd9d916239849b4b0c16304e910cb1d" PartId="1b4472ce22824759a0dc0e6976d5388f">
    <Part Type="preambule" DocPartId="6819f63b5720459787d8ae4070b416d3" PartId="7f211bf5d3f247d9866d026add12c515"/>
    <Part Type="punktas" Nr="1" Abbr="1 p." DocPartId="19c76187ad8148f4ad04907ca074ef41" PartId="7933d61aa93e41658d0e1e038d2acfc1"/>
    <Part Type="punktas" Nr="2" Abbr="2 p." DocPartId="ef6f430041d14280be40dd40248d5521" PartId="f3614307b12442d8b3646a64f3d2519c"/>
    <Part Type="punktas" Nr="3" Abbr="3 p." DocPartId="3748eaac4a004d1d832221bf756530be" PartId="0ba19a8ca0ab4355bdd07dba476664cc"/>
    <Part Type="punktas" Nr="4" Abbr="4 p." DocPartId="d33a7469a910436d8c6aa6621b40b0b8" PartId="c8bcd3c2850c41da9d95417830b83718"/>
    <Part Type="punktas" Nr="5" Abbr="5 p." DocPartId="e4ffb5effb3b4c15ac2359c836c06771" PartId="d002d28a328b45de86ae11286568bb8d"/>
    <Part Type="punktas" Nr="6" Abbr="6 p." DocPartId="31a38872514947278bb857059889f0a7" PartId="c68b1efec73443878f070eec85e092b4"/>
    <Part Type="punktas" Nr="7" Abbr="7 p." DocPartId="12d4425d98104106acc182320a76d352" PartId="4d6ba385debf41f2b3f7aff3d457e60b"/>
    <Part Type="punktas" Nr="8" Abbr="8 p." DocPartId="87204a264f6a43afbdfa56023ac8ff4b" PartId="4de9d1e290714e1dab671555cf61e698"/>
    <Part Type="punktas" Nr="9" Abbr="9 p." DocPartId="51d598ff3b854553ad09b29760808b10" PartId="9dbbc4ce260345c2af3daeb59c26592a"/>
    <Part Type="punktas" Nr="10" Abbr="10 p." DocPartId="1165e502733749ec874f7e59afaaf56d" PartId="ed82289a57a3416a9a81376a18d517aa"/>
    <Part Type="punktas" Nr="11" Abbr="11 p." DocPartId="212ef7cdc94e4ebcbf9d09c495175cf2" PartId="c3aa5c43ff57480a82831a0c152c5ffe"/>
    <Part Type="punktas" Nr="12" Abbr="12 p." DocPartId="9007eea98aa74bbba0dbb63f314d68bc" PartId="af64065e95f14b8bbe16160028522bfa"/>
    <Part Type="punktas" Nr="13" Abbr="13 p." DocPartId="ba5c117d603e42808e28b2cd8c591fd3" PartId="2b70e40b2f024ef29194e9264f995334"/>
    <Part Type="punktas" Nr="14" Abbr="14 p." DocPartId="0ba4014f86d74572a031257651ec9ec2" PartId="4123486073834807ac1a57931d401f54"/>
    <Part Type="punktas" Nr="15" Abbr="15 p." DocPartId="6229e9d3c767498eaabb3edd4daa927f" PartId="b7d621f29139479babe77ab3ede2b6ca"/>
    <Part Type="punktas" Nr="16" Abbr="16 p." DocPartId="8d4c8b7ea25246d292493e83662211ee" PartId="9b31a67a89f34b729fce910ba9c9aa84"/>
    <Part Type="punktas" Nr="17" Abbr="17 p." DocPartId="769f31d22c0f4d40afdc48434f05affe" PartId="4f9462e2699e4c0d81fd42968c828f0f"/>
    <Part Type="punktas" Nr="18" Abbr="18 p." DocPartId="bf326b81acf04bf8986b8a29a2836789" PartId="a4824ef6fc6a4a8094136f32a20ff010"/>
    <Part Type="punktas" Nr="19" Abbr="19 p." DocPartId="48a65f7772bd4d8b9e522390dbc431af" PartId="55d58a93130b4a7ca06a57d0470edb06"/>
    <Part Type="pabaiga" DocPartId="34c6f9b32e8643c3a829665889e8d108" PartId="8110287b86a14aa2988110b57672c94e"/>
  </Part>
  <Part Type="priedas" Abbr="pr." Title="MOKESTINĖS NEPRIEMOKOS / BAUDOS UŽ ADMINISTRACINĮ NUSIŽENGIMĄ IR PALŪKANŲ MOKĖJIMO GRAFIKAS" DocPartId="f74a6198e96f40f8abc9d1d3cd4d86c6" PartId="e6ce34ee2f444c74bb0de0511d11e7cd">
    <Part Type="pabaiga" DocPartId="8341e399267d4ec2a0598210ffea91a6" PartId="b5656c29b0d248a3959717bc5088bc1f"/>
  </Part>
  <Part Type="patvirtinta" Title="(Sprendimo atidėti / išdėstyti mokestinės nepriemokos / baudos už administracinį nusižengimą mokėjimą FR0285 forma)" DocPartId="0f76f6a321bb4b4294f27119700b61a3" PartId="22928158c8a349f3b9ecc4a03033be6f">
    <Part Type="pabaiga" DocPartId="81affb5ac6b34785b33ff8675059859b" PartId="46218b74062646c9a0bde8147554f1ac"/>
  </Part>
  <Part Type="priedas" Abbr="pr." Title="(Sprendimo nutraukti mokestinės paskolos sutartį FR0286 forma)" DocPartId="09241c04c5c44c2198cf4a580b60f00b" PartId="fcfe65cda891426b8b1541528ab91ac7">
    <Part Type="pabaiga" DocPartId="5aebe51fbac94bca9ce9ff781a70ad72" PartId="f5f32c882c8c43c0a1b77542d6d670bc"/>
  </Part>
  <Part Type="patvirtinta" Title="(Sprendimo pakeisti Sprendimą atidėti / išdėstyti mokestinės nepriemokos / baudos už administracinį nusižengimą mokėjimą FR0287 forma)" DocPartId="ac9845ec76cf498998484a3673488023" PartId="7b4837c945834c43a1c8fe2662ea4c29">
    <Part Type="pabaiga" DocPartId="31467a0de1f24c438736da594afacb55" PartId="54f7279757d5459b8e23c318af8702c6"/>
  </Part>
  <Part Type="patvirtinta" Title="(Įspėjimo FR1093 forma)" DocPartId="0b5305274de54f0486cd24bcff257566" PartId="803afd0c65b44984a52234ada3dcd956">
    <Part Type="pabaiga" DocPartId="6bb6ceb9d2a24cdb9c2df28020b283bb" PartId="92849533c0e14c9484fc99265c565987"/>
  </Part>
  <Part Type="patvirtinta" Title="(Pranešimo apie mokėtinas palūkanas FR0556 forma)" DocPartId="c62c78e9c5cb4203a5976c1b88042984" PartId="9a5b7597f1104bafa26aaea65c278e10">
    <Part Type="pabaiga" DocPartId="4a688d06a62e418bbaff5a709c0bf602" PartId="f530cd103edc4a509d269b6c4e1dab23"/>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93D67C8-5155-4CCA-A439-B53167783D00}">
  <ds:schemaRefs>
    <ds:schemaRef ds:uri="http://lrs.lt/TAIS/DocParts"/>
  </ds:schemaRefs>
</ds:datastoreItem>
</file>

<file path=customXml/itemProps3.xml><?xml version="1.0" encoding="utf-8"?>
<ds:datastoreItem xmlns:ds="http://schemas.openxmlformats.org/officeDocument/2006/customXml" ds:itemID="{028ABA9E-D364-4CAB-945D-C06705EA1A4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40</Pages>
  <Words>66014</Words>
  <Characters>37628</Characters>
  <Application>Microsoft Office Word</Application>
  <DocSecurity>0</DocSecurity>
  <Lines>313</Lines>
  <Paragraphs>206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103436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2024-10-23T11:53:00Z</dcterms:created>
  <dc:creator>User</dc:creator>
  <lastModifiedBy>GUMBYTĖ Danguolė</lastModifiedBy>
  <lastPrinted>2024-09-03T13:26:00Z</lastPrinted>
  <dcterms:modified xsi:type="dcterms:W3CDTF">2026-04-01T07:45:00Z</dcterms:modified>
  <revision>9</revision>
</coreProperties>
</file>